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96.jpg" ContentType="image/jpeg"/>
  <Override PartName="/word/media/rId100.jpg" ContentType="image/jpeg"/>
  <Override PartName="/word/media/rId104.jpg" ContentType="image/jpeg"/>
  <Override PartName="/word/media/rId36.jpg" ContentType="image/jpeg"/>
  <Override PartName="/word/media/rId42.jpg" ContentType="image/jpeg"/>
  <Override PartName="/word/media/rId50.jpg" ContentType="image/jpeg"/>
  <Override PartName="/word/media/rId46.jpg" ContentType="image/jpeg"/>
  <Override PartName="/word/media/rId55.jpg" ContentType="image/jpeg"/>
  <Override PartName="/word/media/rId59.jpg" ContentType="image/jpeg"/>
  <Override PartName="/word/media/rId63.jpg" ContentType="image/jpeg"/>
  <Override PartName="/word/media/rId67.jpg" ContentType="image/jpeg"/>
  <Override PartName="/word/media/rId71.jpg" ContentType="image/jpeg"/>
  <Override PartName="/word/media/rId75.jpg" ContentType="image/jpeg"/>
  <Override PartName="/word/media/rId79.jpg" ContentType="image/jpeg"/>
  <Override PartName="/word/media/rId83.jpg" ContentType="image/jpeg"/>
  <Override PartName="/word/media/rId87.jpg" ContentType="image/jpeg"/>
  <Override PartName="/word/media/rId91.jpg" ContentType="image/jpeg"/>
  <Override PartName="/word/media/rId23.jpg" ContentType="image/jpeg"/>
  <Override PartName="/word/media/rId32.jpg" ContentType="image/jpeg"/>
  <Override PartName="/word/media/rId28.jpg" ContentType="image/jpeg"/>
  <Override PartName="/word/media/rId109.jpg" ContentType="image/jpeg"/>
  <Override PartName="/word/media/rId113.jpg" ContentType="image/jpeg"/>
  <Override PartName="/word/media/rId121.jpg" ContentType="image/jpeg"/>
  <Override PartName="/word/media/rId125.jpg" ContentType="image/jpeg"/>
  <Override PartName="/word/media/rId129.jpg" ContentType="image/jpeg"/>
  <Override PartName="/word/media/rId133.jpg" ContentType="image/jpeg"/>
  <Override PartName="/word/media/rId137.jpg" ContentType="image/jpeg"/>
  <Override PartName="/word/media/rId141.jpg" ContentType="image/jpeg"/>
  <Override PartName="/word/media/rId145.jpg" ContentType="image/jpeg"/>
  <Override PartName="/word/media/rId149.jpg" ContentType="image/jpeg"/>
  <Override PartName="/word/media/rId153.jpg" ContentType="image/jpeg"/>
  <Override PartName="/word/media/rId117.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Florida</w:t>
      </w:r>
      <w:r>
        <w:t xml:space="preserve"> </w:t>
      </w:r>
      <w:r>
        <w:t xml:space="preserve">Fish</w:t>
      </w:r>
      <w:r>
        <w:t xml:space="preserve"> </w:t>
      </w:r>
      <w:r>
        <w:t xml:space="preserve">and</w:t>
      </w:r>
      <w:r>
        <w:t xml:space="preserve"> </w:t>
      </w:r>
      <w:r>
        <w:t xml:space="preserve">Wildlife</w:t>
      </w:r>
      <w:r>
        <w:t xml:space="preserve"> </w:t>
      </w:r>
      <w:r>
        <w:t xml:space="preserve">Conservation</w:t>
      </w:r>
      <w:r>
        <w:t xml:space="preserve"> </w:t>
      </w:r>
      <w:r>
        <w:t xml:space="preserve">Commission,</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11/1/22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baseline (2015 and 2016) and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Preparation of the original Quality Assurance Project Plan by Lindsay Cross and Gary Raulerson, in addition to several individuals from above, is appreciated.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at multiple spatial scales of inference. At the finest scale, nine sites are sampled every three to five years along transects that extend landward from the shoreline. The surveys assess characteristics of the vegetation communities, vegetation zones, tree communities, surface elevation, soil characteristics, interstitial porewater salinity, and faunal communities. Basal percent cover of vegetation is recorded in 0.5 x 0.5-m quadrats placed every half meter along the transect and these surveys are the most time-intensive component of the CCHA.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community to identify if reduced sampling effort is possible without compromising quality of the data. Existing data collected at half-meter sampling intervals were systematically down-sampled using a custom software routine. Estimates of species richness at each site, species richness within vegetation zones, elevation estimates of key species, and ability to identify and characterize vegetation zones were obtained for sub-sampled surveys from 1 meter to 10 meter sampling at half-meter intervals.</w:t>
      </w:r>
    </w:p>
    <w:p>
      <w:pPr>
        <w:pStyle w:val="BodyText"/>
      </w:pPr>
      <w:r>
        <w:t xml:space="preserve">Conclusions from the analysis are as follows and apply to reductions in effort for sampling vegetation up to 10 meters, or a 95% reduction in relative effort:</w:t>
      </w:r>
    </w:p>
    <w:p>
      <w:pPr>
        <w:numPr>
          <w:ilvl w:val="0"/>
          <w:numId w:val="1001"/>
        </w:numPr>
        <w:pStyle w:val="Compact"/>
      </w:pPr>
      <w:r>
        <w:t xml:space="preserve">Species richness estimates for vegetation at a site are reduced with lower sampling effort</w:t>
      </w:r>
    </w:p>
    <w:p>
      <w:pPr>
        <w:numPr>
          <w:ilvl w:val="0"/>
          <w:numId w:val="1001"/>
        </w:numPr>
        <w:pStyle w:val="Compact"/>
      </w:pPr>
      <w:r>
        <w:t xml:space="preserve">The amount of reduction in the species richness estimates was weakly associated with total species richness at a site</w:t>
      </w:r>
    </w:p>
    <w:p>
      <w:pPr>
        <w:numPr>
          <w:ilvl w:val="0"/>
          <w:numId w:val="1001"/>
        </w:numPr>
        <w:pStyle w:val="Compact"/>
      </w:pPr>
      <w:r>
        <w:t xml:space="preserve">Species richness estimates for a zone are reduced with lower sampling effort</w:t>
      </w:r>
    </w:p>
    <w:p>
      <w:pPr>
        <w:numPr>
          <w:ilvl w:val="0"/>
          <w:numId w:val="1001"/>
        </w:numPr>
        <w:pStyle w:val="Compact"/>
      </w:pPr>
      <w:r>
        <w:t xml:space="preserve">Species richness estimates will be lower with reduced effort for zones with high richness</w:t>
      </w:r>
    </w:p>
    <w:p>
      <w:pPr>
        <w:numPr>
          <w:ilvl w:val="0"/>
          <w:numId w:val="1001"/>
        </w:numPr>
        <w:pStyle w:val="Compact"/>
      </w:pPr>
      <w:r>
        <w:t xml:space="preserve">The ranges of elevation occupied by mangroves changes with reduced effort, although patterns varied by site</w:t>
      </w:r>
    </w:p>
    <w:p>
      <w:pPr>
        <w:numPr>
          <w:ilvl w:val="0"/>
          <w:numId w:val="1001"/>
        </w:numPr>
        <w:pStyle w:val="Compact"/>
      </w:pPr>
      <w:r>
        <w:t xml:space="preserve">All vegetation zones will include at least one quadrat if the sample interval is less than the length of the smallest zone at a site</w:t>
      </w:r>
    </w:p>
    <w:p>
      <w:pPr>
        <w:numPr>
          <w:ilvl w:val="0"/>
          <w:numId w:val="1001"/>
        </w:numPr>
        <w:pStyle w:val="Compact"/>
      </w:pPr>
      <w:r>
        <w:t xml:space="preserve">Precision of the distance estimates spanned by the quadrats in each vegetation zone decreases with reductions in sampling effort</w:t>
      </w:r>
    </w:p>
    <w:p>
      <w:pPr>
        <w:pStyle w:val="FirstParagraph"/>
      </w:pPr>
      <w:r>
        <w:t xml:space="preserve">A reduction in effort by 50%, or sampling every meter, does not significantly affect the key metrics described above. As such, the quantitative assessments included in this report support a recommendation that the 0.5 x 0.5-m quadrats can be placed at 1 meter sampling intervals rather than the previously used 0.5 m (continuous) intervals. This design can be used at all site transects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7" w:name="introduction"/>
    <w:p>
      <w:pPr>
        <w:pStyle w:val="Heading2"/>
      </w:pPr>
      <w:r>
        <w:t xml:space="preserve">1 Introduction</w:t>
      </w:r>
    </w:p>
    <w:p>
      <w:pPr>
        <w:pStyle w:val="FirstParagraph"/>
      </w:pPr>
      <w:r>
        <w:t xml:space="preserve">Native coastal habitats provide multiple ecosystem services that benefit natural communities and human-based uses of the resources. Climate change and sea-level rise are critical threats to the health and resilience of these habitats. Changes with projected estimates of sea-level rise and temperature changes are expected to manifest as substantial habitat loss or alteration and landward migration of intertidal species.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decreased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and impacting critical infrastructure. Numerous efforts to track and plan for the projected effects of sea-level rise have been the focus of regional managers in recent decades. The Tampa Bay Estuary Program (TBEP) works to develop science-based solutions for managing the estuary by creating consensus among regional managers on approaches for maintaining a healthy bay and watershed. The TBEP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tracking coastal habitat change over time using a long-term monitoring program with multiple spatial scales of inference. The three scales of inference are defined as the</w:t>
      </w:r>
      <w:r>
        <w:t xml:space="preserve"> </w:t>
      </w:r>
      <w:r>
        <w:t xml:space="preserve">“</w:t>
      </w:r>
      <w:r>
        <w:t xml:space="preserve">Bay Wide</w:t>
      </w:r>
      <w:r>
        <w:t xml:space="preserve">”</w:t>
      </w:r>
      <w:r>
        <w:t xml:space="preserve">,</w:t>
      </w:r>
      <w:r>
        <w:t xml:space="preserve"> </w:t>
      </w:r>
      <w:r>
        <w:t xml:space="preserve">“</w:t>
      </w:r>
      <w:r>
        <w:t xml:space="preserve">Bay Segment</w:t>
      </w:r>
      <w:r>
        <w:t xml:space="preserve">”</w:t>
      </w:r>
      <w:r>
        <w:t xml:space="preserve">, and</w:t>
      </w:r>
      <w:r>
        <w:t xml:space="preserve"> </w:t>
      </w:r>
      <w:r>
        <w:t xml:space="preserve">“</w:t>
      </w:r>
      <w:r>
        <w:t xml:space="preserve">Habitat Ecotone</w:t>
      </w:r>
      <w:r>
        <w:t xml:space="preserve">”</w:t>
      </w:r>
      <w:r>
        <w:t xml:space="preserve"> </w:t>
      </w:r>
      <w:r>
        <w:t xml:space="preserve">scale (</w:t>
      </w:r>
      <w:r>
        <w:rPr>
          <w:bCs/>
          <w:b/>
        </w:rPr>
        <w:t xml:space="preserve">reference QAPP</w:t>
      </w:r>
      <w:r>
        <w:t xml:space="preserve">). The habitat ecotone scale is designed to complement the coarser scales by providing high-resolution surveys of emergent tidal wetlands</w:t>
      </w:r>
      <w:r>
        <w:t xml:space="preserve"> </w:t>
      </w:r>
      <w:r>
        <w:t xml:space="preserve">(Moyer and Radabaugh, 2017; Price et al., 2017)</w:t>
      </w:r>
      <w:r>
        <w:t xml:space="preserve">. This is accomplished with field-based estimates of coastal habitats at fixed sites for selected locations around Tampa Bay (</w:t>
      </w:r>
      <w:hyperlink w:anchor="fig-sitemap">
        <w:r>
          <w:rPr>
            <w:rStyle w:val="Hyperlink"/>
          </w:rPr>
          <w:t xml:space="preserve">Figure 1</w:t>
        </w:r>
      </w:hyperlink>
      <w:r>
        <w:t xml:space="preserve">). Each of nine sites are sampled every 3-5 years using a transect extending landward from the water to survey herbaceous and woody vegetation, surface elevation, soil characteristics, interstitial porewater salinity, and faunal communities. The surveys also track discrete vegetation zones (e.g., mangrove fringe, salt marsh, coastal uplands, etc.) to assess potential landward shifts or reductions in habitats based on anticipated changes from sea-level rise, increased temperatures, and acute events such as fires and hurricanes.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tbl>
      <w:tblPr>
        <w:tblStyle w:val="Table"/>
        <w:tblW w:type="pct" w:w="5000"/>
        <w:tblLook w:firstRow="0" w:lastRow="0" w:firstColumn="0" w:lastColumn="0" w:noHBand="0" w:noVBand="0" w:val="0000"/>
      </w:tblPr>
      <w:tblGrid>
        <w:gridCol w:w="7920"/>
      </w:tblGrid>
      <w:tr>
        <w:tc>
          <w:tcPr/>
          <w:bookmarkStart w:id="26" w:name="fig-sitemap"/>
          <w:p>
            <w:pPr>
              <w:pStyle w:val="Figure"/>
              <w:jc w:val="center"/>
            </w:pPr>
            <w:r>
              <w:drawing>
                <wp:inline>
                  <wp:extent cx="4114800" cy="5486400"/>
                  <wp:effectExtent b="0" l="0" r="0" t="0"/>
                  <wp:docPr descr="" title="" id="24" name="Picture"/>
                  <a:graphic>
                    <a:graphicData uri="http://schemas.openxmlformats.org/drawingml/2006/picture">
                      <pic:pic>
                        <pic:nvPicPr>
                          <pic:cNvPr descr="../figs/sitemap.jpg" id="25" name="Picture"/>
                          <pic:cNvPicPr>
                            <a:picLocks noChangeArrowheads="1" noChangeAspect="1"/>
                          </pic:cNvPicPr>
                        </pic:nvPicPr>
                        <pic:blipFill>
                          <a:blip r:embed="rId23"/>
                          <a:stretch>
                            <a:fillRect/>
                          </a:stretch>
                        </pic:blipFill>
                        <pic:spPr bwMode="auto">
                          <a:xfrm>
                            <a:off x="0" y="0"/>
                            <a:ext cx="41148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Locations of long-term monitoring sites in Tampa Bay surveyed for the Critical Coastal Habitat Assessment. Each site has been sampled twice as of this report.</w:t>
            </w:r>
          </w:p>
          <w:bookmarkEnd w:id="26"/>
        </w:tc>
      </w:tr>
    </w:tbl>
    <w:p>
      <w:pPr>
        <w:pStyle w:val="BodyText"/>
      </w:pPr>
      <w:r>
        <w:t xml:space="preserve">The CCHA vegetation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collecting useful information that informs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recording basal percent cover of vegetation in a 0.5 x 0.5-m (0.25 m</w:t>
      </w:r>
      <m:oMath>
        <m:sSup>
          <m:e>
            <m:r>
              <m:t>​</m:t>
            </m:r>
          </m:e>
          <m:sup>
            <m:r>
              <m:t>2</m:t>
            </m:r>
          </m:sup>
        </m:sSup>
      </m:oMath>
      <w:r>
        <w:t xml:space="preserve">) quadrat every half meter (continuous sampling)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sampling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will not sacrifice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calculated from half-meter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by vegetation zone across sites</w:t>
      </w:r>
    </w:p>
    <w:p>
      <w:pPr>
        <w:numPr>
          <w:ilvl w:val="0"/>
          <w:numId w:val="1002"/>
        </w:numPr>
        <w:pStyle w:val="Compact"/>
      </w:pPr>
      <w:r>
        <w:t xml:space="preserve">Elevation at which 95% of key species (e.g., mangroves) occur</w:t>
      </w:r>
    </w:p>
    <w:p>
      <w:pPr>
        <w:numPr>
          <w:ilvl w:val="0"/>
          <w:numId w:val="1002"/>
        </w:numPr>
        <w:pStyle w:val="Compact"/>
      </w:pPr>
      <w:r>
        <w:t xml:space="preserve">Vegetation zone identification and lengths by site</w:t>
      </w:r>
    </w:p>
    <w:p>
      <w:pPr>
        <w:pStyle w:val="FirstParagraph"/>
      </w:pPr>
      <w:r>
        <w:t xml:space="preserve">Recommendations are provided for the appropriate sampling interval of future surveys.</w:t>
      </w:r>
    </w:p>
    <w:bookmarkEnd w:id="27"/>
    <w:bookmarkStart w:id="41"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2</w:t>
        </w:r>
      </w:hyperlink>
      <w:r>
        <w:t xml:space="preserve">. The transects are perpendicular to the coastline and extend from the water to upland habitats using bench-marked beginning and end locations that are fixed at each site. The vegetation community is surveyed at half-meter marks using a 0.5 x 0.5-m quadrat, where species and basal percent cover of each species are recorded. Additional information collected at each transect includes tree surveys around randomly placed 1 x 1-m quadrats (red boxes,</w:t>
      </w:r>
      <w:r>
        <w:t xml:space="preserve"> </w:t>
      </w:r>
      <w:hyperlink w:anchor="fig-transectdesign">
        <w:r>
          <w:rPr>
            <w:rStyle w:val="Hyperlink"/>
          </w:rPr>
          <w:t xml:space="preserve">Figure 2</w:t>
        </w:r>
      </w:hyperlink>
      <w:r>
        <w:t xml:space="preserve">) using the Point-Center-Quarter method</w:t>
      </w:r>
      <w:r>
        <w:t xml:space="preserve"> </w:t>
      </w:r>
      <w:r>
        <w:t xml:space="preserve">(Cottam and Curtis, 1956)</w:t>
      </w:r>
      <w:r>
        <w:t xml:space="preserve">, elevation surveys along the length of the transect using Real Time Kinematic (RTK) Global Positioning System, porewater interstitial salinity within each vegetation zone, feldspar horizons and soil samples analyzed for total percent organic content and sediment grain size, and faunal surveys at random plots evaluating species composition and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w:t>
      </w:r>
    </w:p>
    <w:tbl>
      <w:tblPr>
        <w:tblStyle w:val="Table"/>
        <w:tblW w:type="pct" w:w="5000"/>
        <w:tblLook w:firstRow="0" w:lastRow="0" w:firstColumn="0" w:lastColumn="0" w:noHBand="0" w:noVBand="0" w:val="0000"/>
      </w:tblPr>
      <w:tblGrid>
        <w:gridCol w:w="7920"/>
      </w:tblGrid>
      <w:tr>
        <w:tc>
          <w:tcPr/>
          <w:bookmarkStart w:id="31" w:name="fig-transectdesign"/>
          <w:p>
            <w:pPr>
              <w:pStyle w:val="Figure"/>
              <w:jc w:val="center"/>
            </w:pPr>
            <w:r>
              <w:drawing>
                <wp:inline>
                  <wp:extent cx="5943600" cy="2809417"/>
                  <wp:effectExtent b="0" l="0" r="0" t="0"/>
                  <wp:docPr descr="" title="" id="29" name="Picture"/>
                  <a:graphic>
                    <a:graphicData uri="http://schemas.openxmlformats.org/drawingml/2006/picture">
                      <pic:pic>
                        <pic:nvPicPr>
                          <pic:cNvPr descr="../figs/transectdesign.jpg" id="30" name="Picture"/>
                          <pic:cNvPicPr>
                            <a:picLocks noChangeArrowheads="1" noChangeAspect="1"/>
                          </pic:cNvPicPr>
                        </pic:nvPicPr>
                        <pic:blipFill>
                          <a:blip r:embed="rId28"/>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sampling design at all CCHA sites</w:t>
            </w:r>
            <w:r>
              <w:t xml:space="preserve"> </w:t>
            </w:r>
            <w:r>
              <w:t xml:space="preserve">(from Moyer and Radabaugh, 2017)</w:t>
            </w:r>
            <w:r>
              <w:t xml:space="preserve">. Vegetation quadrats (hollow black boxes) are placed every half meter (continuous) along the main transect from the water to the landward end.</w:t>
            </w:r>
          </w:p>
          <w:bookmarkEnd w:id="31"/>
        </w:tc>
      </w:tr>
    </w:tbl>
    <w:p>
      <w:pPr>
        <w:pStyle w:val="BodyText"/>
      </w:pPr>
      <w:r>
        <w:t xml:space="preserve">All existing CCHA vegetation surveys at each site and for baseline (2015 - 2016) and 2018 data were sub-sampled from the existing effort of sample plots every half meter.</w:t>
      </w:r>
      <w:r>
        <w:t xml:space="preserve"> </w:t>
      </w:r>
      <w:hyperlink w:anchor="fig-subsampex">
        <w:r>
          <w:rPr>
            <w:rStyle w:val="Hyperlink"/>
          </w:rPr>
          <w:t xml:space="preserve">Figure 3</w:t>
        </w:r>
      </w:hyperlink>
      <w:r>
        <w:t xml:space="preserve"> </w:t>
      </w:r>
      <w:r>
        <w:t xml:space="preserve">shows an example of the sub-sampling scheme, where effort was reduced in half-meter increments, starting from the complete survey to an upper limit of sampling every 10 meters. For simplicity,</w:t>
      </w:r>
      <w:r>
        <w:t xml:space="preserve"> </w:t>
      </w:r>
      <w:hyperlink w:anchor="fig-subsampex">
        <w:r>
          <w:rPr>
            <w:rStyle w:val="Hyperlink"/>
          </w:rPr>
          <w:t xml:space="preserve">Figure 3</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in the rows below.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3</w:t>
        </w:r>
      </w:hyperlink>
      <w:r>
        <w:t xml:space="preserve"> </w:t>
      </w:r>
      <w:r>
        <w:t xml:space="preserve">show which of the existing survey points were sampled for each replicate at the specified sub-sample distance.</w:t>
      </w:r>
    </w:p>
    <w:tbl>
      <w:tblPr>
        <w:tblStyle w:val="Table"/>
        <w:tblW w:type="pct" w:w="5000"/>
        <w:tblLook w:firstRow="0" w:lastRow="0" w:firstColumn="0" w:lastColumn="0" w:noHBand="0" w:noVBand="0" w:val="0000"/>
      </w:tblPr>
      <w:tblGrid>
        <w:gridCol w:w="7920"/>
      </w:tblGrid>
      <w:tr>
        <w:tc>
          <w:tcPr/>
          <w:bookmarkStart w:id="35" w:name="fig-subsampex"/>
          <w:p>
            <w:pPr>
              <w:pStyle w:val="Figure"/>
              <w:jc w:val="center"/>
            </w:pPr>
            <w:r>
              <w:drawing>
                <wp:inline>
                  <wp:extent cx="5943600" cy="3714750"/>
                  <wp:effectExtent b="0" l="0" r="0" t="0"/>
                  <wp:docPr descr="" title="" id="33" name="Picture"/>
                  <a:graphic>
                    <a:graphicData uri="http://schemas.openxmlformats.org/drawingml/2006/picture">
                      <pic:pic>
                        <pic:nvPicPr>
                          <pic:cNvPr descr="../figs/subsampex.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Schematic of the method for creating sub-samples of existing transect data. The full survey with sampling at half-meter intervals is shown at the top, with increasing sampling intervals from top to bottom. Replicates for each sample interval show the unique points that were selected.</w:t>
            </w:r>
          </w:p>
          <w:bookmarkEnd w:id="35"/>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4</w:t>
        </w:r>
      </w:hyperlink>
      <w:r>
        <w:t xml:space="preserve">. The rate of the percent reduction of the original effort with each half-meter reduction in sampling effort decreases from 1 meter to 10 meter sampling, with the largest reduction occurring on the left-side of the x-axis (e.g., half-meter to 1 meter sampling) and the smallest reductions on the right side of the x-axis (e.g., 9.5 meter to 10 meter sampling).</w:t>
      </w:r>
    </w:p>
    <w:tbl>
      <w:tblPr>
        <w:tblStyle w:val="Table"/>
        <w:tblW w:type="pct" w:w="5000"/>
        <w:tblLook w:firstRow="0" w:lastRow="0" w:firstColumn="0" w:lastColumn="0" w:noHBand="0" w:noVBand="0" w:val="0000"/>
      </w:tblPr>
      <w:tblGrid>
        <w:gridCol w:w="7920"/>
      </w:tblGrid>
      <w:tr>
        <w:tc>
          <w:tcPr/>
          <w:bookmarkStart w:id="39" w:name="fig-releff"/>
          <w:p>
            <w:pPr>
              <w:pStyle w:val="Figure"/>
              <w:jc w:val="center"/>
            </w:pPr>
            <w:r>
              <w:drawing>
                <wp:inline>
                  <wp:extent cx="5943600" cy="3714750"/>
                  <wp:effectExtent b="0" l="0" r="0" t="0"/>
                  <wp:docPr descr="" title="" id="37" name="Picture"/>
                  <a:graphic>
                    <a:graphicData uri="http://schemas.openxmlformats.org/drawingml/2006/picture">
                      <pic:pic>
                        <pic:nvPicPr>
                          <pic:cNvPr descr="../figs/releff.jpg" id="38" name="Picture"/>
                          <pic:cNvPicPr>
                            <a:picLocks noChangeArrowheads="1" noChangeAspect="1"/>
                          </pic:cNvPicPr>
                        </pic:nvPicPr>
                        <pic:blipFill>
                          <a:blip r:embed="rId3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Percent reductions in sampling effort as a function of the sample interval. For example, sampling every 1 meter represents a 50% reduction in effort from half-meter sampling.</w:t>
            </w:r>
          </w:p>
          <w:bookmarkEnd w:id="39"/>
        </w:tc>
      </w:tr>
    </w:tbl>
    <w:p>
      <w:pPr>
        <w:pStyle w:val="BodyText"/>
      </w:pPr>
      <w:r>
        <w:t xml:space="preserve">For each site and sample year, relevant vegetation metrics were estimated from the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Rhizophora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measurements from the RTK surveys were combined with the vegetation data and cumulative distribution functions (CDF) of the elevations were calculated for all points in a sub-sample where a key species was found. The 95th percentile of the elevation estimates for each CDF were used to identify an approximate elevation limit for each species and sub-sample. Lastly, the number of unique zones at each site and the meter mark at which a zone began were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sampling effort</w:t>
      </w:r>
      <w:r>
        <w:t xml:space="preserve"> </w:t>
      </w:r>
      <w:r>
        <w:t xml:space="preserve">(Miller and Ambrose, 2000; Zhang et al., 2019)</w:t>
      </w:r>
      <w:r>
        <w:t xml:space="preserve">. Metrics were evaluated as total change and the relative percent change from the initial value at half-meter sampling to identify these potential effects. Metrics were also evaluated by comparing total change from half-meter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40">
        <w:r>
          <w:rPr>
            <w:rStyle w:val="Hyperlink"/>
          </w:rPr>
          <w:t xml:space="preserve">https://github.com/tbep-tech/ccha-sampling-effort</w:t>
        </w:r>
      </w:hyperlink>
      <w:r>
        <w:t xml:space="preserve">.</w:t>
      </w:r>
    </w:p>
    <w:bookmarkEnd w:id="41"/>
    <w:bookmarkStart w:id="158" w:name="results"/>
    <w:p>
      <w:pPr>
        <w:pStyle w:val="Heading2"/>
      </w:pPr>
      <w:r>
        <w:t xml:space="preserve">3 Results</w:t>
      </w:r>
    </w:p>
    <w:bookmarkStart w:id="54" w:name="species-richness-estimates"/>
    <w:p>
      <w:pPr>
        <w:pStyle w:val="Heading3"/>
      </w:pPr>
      <w:r>
        <w:t xml:space="preserve">3.1 Species richness estimates</w:t>
      </w:r>
    </w:p>
    <w:p>
      <w:pPr>
        <w:pStyle w:val="FirstParagraph"/>
      </w:pPr>
      <w:r>
        <w:t xml:space="preserve">Total species richness estimates at each site and for each year of sampling decreased as expected with reductions in effort (</w:t>
      </w:r>
      <w:hyperlink w:anchor="fig-richex">
        <w:r>
          <w:rPr>
            <w:rStyle w:val="Hyperlink"/>
          </w:rPr>
          <w:t xml:space="preserve">Figure 5</w:t>
        </w:r>
      </w:hyperlink>
      <w:r>
        <w:t xml:space="preserve">). The rate of reduction in the species richness estimates decreased as the sampling intervals increased, in agreement with the level of effort as a percentage of the total shown in</w:t>
      </w:r>
      <w:r>
        <w:t xml:space="preserve"> </w:t>
      </w:r>
      <w:hyperlink w:anchor="fig-releff">
        <w:r>
          <w:rPr>
            <w:rStyle w:val="Hyperlink"/>
          </w:rPr>
          <w:t xml:space="preserve">Figure 4</w:t>
        </w:r>
      </w:hyperlink>
      <w:r>
        <w:t xml:space="preserve">. Each point in</w:t>
      </w:r>
      <w:r>
        <w:t xml:space="preserve"> </w:t>
      </w:r>
      <w:hyperlink w:anchor="fig-richex">
        <w:r>
          <w:rPr>
            <w:rStyle w:val="Hyperlink"/>
          </w:rPr>
          <w:t xml:space="preserve">Figure 5</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 Tabular results for selected sampling intervals in</w:t>
      </w:r>
      <w:r>
        <w:t xml:space="preserve"> </w:t>
      </w:r>
      <w:hyperlink w:anchor="fig-richex">
        <w:r>
          <w:rPr>
            <w:rStyle w:val="Hyperlink"/>
          </w:rPr>
          <w:t xml:space="preserve">Figure 5</w:t>
        </w:r>
      </w:hyperlink>
      <w:r>
        <w:t xml:space="preserve"> </w:t>
      </w:r>
      <w:r>
        <w:t xml:space="preserve">are shown in Table</w:t>
      </w:r>
      <w: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richtab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w:t>
      </w:r>
    </w:p>
    <w:tbl>
      <w:tblPr>
        <w:tblStyle w:val="Table"/>
        <w:tblW w:type="pct" w:w="5000"/>
        <w:tblLook w:firstRow="0" w:lastRow="0" w:firstColumn="0" w:lastColumn="0" w:noHBand="0" w:noVBand="0" w:val="0000"/>
      </w:tblPr>
      <w:tblGrid>
        <w:gridCol w:w="7920"/>
      </w:tblGrid>
      <w:tr>
        <w:tc>
          <w:tcPr/>
          <w:bookmarkStart w:id="45" w:name="fig-richex"/>
          <w:p>
            <w:pPr>
              <w:pStyle w:val="Figure"/>
              <w:jc w:val="center"/>
            </w:pPr>
            <w:r>
              <w:drawing>
                <wp:inline>
                  <wp:extent cx="5943600" cy="5200650"/>
                  <wp:effectExtent b="0" l="0" r="0" t="0"/>
                  <wp:docPr descr="" title="" id="43" name="Picture"/>
                  <a:graphic>
                    <a:graphicData uri="http://schemas.openxmlformats.org/drawingml/2006/picture">
                      <pic:pic>
                        <pic:nvPicPr>
                          <pic:cNvPr descr="../figs/rich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Species richness estimates by sampling distance for all sites and each year of sampling. Point size shows the variance across the replicates for each level of sampling effort.</w:t>
            </w:r>
          </w:p>
          <w:bookmarkEnd w:id="45"/>
        </w:tc>
      </w:tr>
    </w:tb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31bed358-dd72-47e0-b79e-afa350f5370d" w:name="richtab"/>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1bed358-dd72-47e0-b79e-afa350f5370d"/>
      <w:r>
        <w:rPr>
          <w:rFonts/>
          <w:b w:val="true"/>
        </w:rPr>
        <w:t xml:space="preserve">: </w:t>
      </w:r>
      <w:r>
        <w:t xml:space="preserve">Species richness estimates by selected sampling distances for all sites and each year of sampling.  The total species richness is shown for the complete surveys at half meter sampling and the mean species richness plus the percent reduction in parentheses are shown for reduced effort in the remaining columns.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660"/>
        <w:gridCol w:w="660"/>
        <w:gridCol w:w="660"/>
        <w:gridCol w:w="660"/>
        <w:gridCol w:w="660"/>
        <w:gridCol w:w="660"/>
        <w:gridCol w:w="660"/>
        <w:gridCol w:w="660"/>
        <w:gridCol w:w="660"/>
        <w:gridCol w:w="660"/>
        <w:gridCol w:w="660"/>
        <w:gridCol w:w="660"/>
      </w:tblGrid>
      <w:tr>
        <w:trPr>
          <w:trHeight w:val="360" w:hRule="auto"/>
          <w:tblHeader/>
        </w:trPr>
        header 1
        <w:tc>
          <w:tcPr>
            <w:gridSpan w:val="2"/>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gridSpan w:val="11"/>
            <w:tcBorders>
              <w:bottom w:val="single" w:sz="8"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Sample interval every x meters</w:t>
            </w:r>
          </w:p>
        </w:tc>
      </w:tr>
      <w:tr>
        <w:trPr>
          <w:trHeight w:val="360" w:hRule="auto"/>
          <w:tblHeader/>
        </w:trPr>
        header 2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Site</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Year</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0.5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single" w:sz="16"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w:t>
            </w:r>
          </w:p>
        </w:tc>
      </w:tr>
      <w:tr>
        <w:trPr>
          <w:trHeight w:val="360" w:hRule="auto"/>
        </w:trPr>
        body 1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Little Manatee River</w:t>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6.7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4.8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(61)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5.1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4.1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3.8 (65)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Hidden Harbor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7.9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5.7 (60)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9.6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8.5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6.6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6.1 (71)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(72)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Weedon Island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17.9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16.5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13.9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13.3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(58)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12.3 (54)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 (59)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Fort DeSoto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22.7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18.5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14.9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14.3 (52)</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24.5 (16)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20.2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16.2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15.1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14.6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 (55)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(58)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Upper Tampa Bay Park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35.5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31 (21)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25.5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23.1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21.4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20.6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19.5 (50)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18.6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32.5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27.8 (23)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21.6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19.8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18.2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17.6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16.8 (53)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Big Bend - TECO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18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10.1 (52)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9.7 (54)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22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19.2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16.7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13.8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13.1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11.6 (52)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Mosaic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10.5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10.2 (7)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9.3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8.6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8.1 (26)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7.8 (30)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7.4 (33)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7.3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7.1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(37)</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8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7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6.2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5.4 (40)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5.2 (43)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4.9 (45)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4.7 (48)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4.6 (49)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4.4 (51)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Cockroach 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17.5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15.8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15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13.6 (41)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12.4 (46)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(50)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14.5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12.5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11.1 (31)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10.6 (34)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10.4 (35)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10 (38)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9.9 (38)</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Harbor Palms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Baseline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13.5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12.8 (8)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12.7 (9)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12.2 (13)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 (14)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11.9 (15)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11.4 (18)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11.3 (19)</w:t>
            </w:r>
          </w:p>
        </w:tc>
      </w:tr>
      <w:tr>
        <w:trPr>
          <w:trHeight w:val="360" w:hRule="auto"/>
        </w:trPr>
        body27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2018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17 (11)</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16 (16)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14.7 (23)</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14 (26)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13.4 (29)</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13.2 (30)</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12.6 (34)</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12.1 (36)</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11.7 (38)</w:t>
            </w:r>
          </w:p>
        </w:tc>
        <w:tc>
          <w:tcPr>
            <w:tcBorders>
              <w:bottom w:val="single" w:sz="16"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11.8 (38)</w:t>
            </w:r>
          </w:p>
        </w:tc>
      </w:tr>
    </w:tbl>
    <w:p>
      <w:pPr>
        <w:pStyle w:val="BodyText"/>
      </w:pPr>
      <w:hyperlink w:anchor="fig-richperex">
        <w:r>
          <w:rPr>
            <w:rStyle w:val="Hyperlink"/>
          </w:rPr>
          <w:t xml:space="preserve">Figure 6</w:t>
        </w:r>
      </w:hyperlink>
      <w:r>
        <w:t xml:space="preserve"> </w:t>
      </w:r>
      <w:r>
        <w:t xml:space="preserve">shows similar results as</w:t>
      </w:r>
      <w:r>
        <w:t xml:space="preserve"> </w:t>
      </w:r>
      <w:hyperlink w:anchor="fig-richex">
        <w:r>
          <w:rPr>
            <w:rStyle w:val="Hyperlink"/>
          </w:rPr>
          <w:t xml:space="preserve">Figure 5</w:t>
        </w:r>
      </w:hyperlink>
      <w:r>
        <w:t xml:space="preserve">, except richness is scaled as a percentage of the total at each site for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9" w:name="fig-richperex"/>
          <w:p>
            <w:pPr>
              <w:pStyle w:val="Figure"/>
              <w:jc w:val="center"/>
            </w:pPr>
            <w:r>
              <w:drawing>
                <wp:inline>
                  <wp:extent cx="5943600" cy="5200650"/>
                  <wp:effectExtent b="0" l="0" r="0" t="0"/>
                  <wp:docPr descr="" title="" id="47" name="Picture"/>
                  <a:graphic>
                    <a:graphicData uri="http://schemas.openxmlformats.org/drawingml/2006/picture">
                      <pic:pic>
                        <pic:nvPicPr>
                          <pic:cNvPr descr="../figs/richperex.jp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Relative percent reductions in species richness estimates with sampling distance for all sites and each year of sampling. Point size shows the variance across the replicates for each level of sampling effort.</w:t>
            </w:r>
          </w:p>
          <w:bookmarkEnd w:id="49"/>
        </w:tc>
      </w:tr>
    </w:tbl>
    <w:p>
      <w:pPr>
        <w:pStyle w:val="BodyText"/>
      </w:pPr>
      <w:r>
        <w:t xml:space="preserve">An assessment of percent loss in the richness estimates from every half-meter to every 10 meters of sampling as a function of total species richness is shown in</w:t>
      </w:r>
      <w:r>
        <w:t xml:space="preserve"> </w:t>
      </w:r>
      <w:hyperlink w:anchor="fig-richloss">
        <w:r>
          <w:rPr>
            <w:rStyle w:val="Hyperlink"/>
          </w:rPr>
          <w:t xml:space="preserve">Figure 7</w:t>
        </w:r>
      </w:hyperlink>
      <w:r>
        <w:t xml:space="preserve">. This plot tests the assumption that estimates at sites with higher species richness will be affected more strongly be reductions in effort. There is some evidence that a greater reduction in species richness is expected at sites with higher richness, although a linear regression fit through the points shows the model is insignificant (</w:t>
      </w:r>
      <w:hyperlink w:anchor="fig-richloss">
        <w:r>
          <w:rPr>
            <w:rStyle w:val="Hyperlink"/>
          </w:rPr>
          <w:t xml:space="preserve">Figure 7</w:t>
        </w:r>
      </w:hyperlink>
      <w:r>
        <w:t xml:space="preserve">).</w:t>
      </w:r>
    </w:p>
    <w:tbl>
      <w:tblPr>
        <w:tblStyle w:val="Table"/>
        <w:tblW w:type="pct" w:w="5000"/>
        <w:tblLook w:firstRow="0" w:lastRow="0" w:firstColumn="0" w:lastColumn="0" w:noHBand="0" w:noVBand="0" w:val="0000"/>
      </w:tblPr>
      <w:tblGrid>
        <w:gridCol w:w="7920"/>
      </w:tblGrid>
      <w:tr>
        <w:tc>
          <w:tcPr/>
          <w:bookmarkStart w:id="53" w:name="fig-richloss"/>
          <w:p>
            <w:pPr>
              <w:pStyle w:val="Figure"/>
              <w:jc w:val="center"/>
            </w:pPr>
            <w:r>
              <w:drawing>
                <wp:inline>
                  <wp:extent cx="5943600" cy="5486400"/>
                  <wp:effectExtent b="0" l="0" r="0" t="0"/>
                  <wp:docPr descr="" title="" id="51" name="Picture"/>
                  <a:graphic>
                    <a:graphicData uri="http://schemas.openxmlformats.org/drawingml/2006/picture">
                      <pic:pic>
                        <pic:nvPicPr>
                          <pic:cNvPr descr="../figs/richloss.jpg" id="52" name="Picture"/>
                          <pic:cNvPicPr>
                            <a:picLocks noChangeArrowheads="1" noChangeAspect="1"/>
                          </pic:cNvPicPr>
                        </pic:nvPicPr>
                        <pic:blipFill>
                          <a:blip r:embed="rId5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Total percent loss in species richness estimates from 0.5 to 10 meter sampling as a function of actual species richness at half-meter sampling.</w:t>
            </w:r>
          </w:p>
          <w:bookmarkEnd w:id="53"/>
        </w:tc>
      </w:tr>
    </w:tbl>
    <w:bookmarkEnd w:id="54"/>
    <w:bookmarkStart w:id="95" w:name="species-richness-estimates-by-zone"/>
    <w:p>
      <w:pPr>
        <w:pStyle w:val="Heading3"/>
      </w:pPr>
      <w:r>
        <w:t xml:space="preserve">3.2 Species richness estimates by zone</w:t>
      </w:r>
    </w:p>
    <w:p>
      <w:pPr>
        <w:pStyle w:val="FirstParagraph"/>
      </w:pPr>
      <w:r>
        <w:t xml:space="preserve">Similar to the species richness estimates at each site, species richness also declined with reduced sampling effort within the unique vegetation zones observed across all sites. A total of 28 vegetation zones were sampled across the nine sites, although inconsistent naming prevented a comparison of similar zones between sites. In general, the unique zones across all sites can be grouped as 1. Brazilian Pepper Berm and</w:t>
      </w:r>
      <w:r>
        <w:t xml:space="preserve"> </w:t>
      </w:r>
      <w:r>
        <w:rPr>
          <w:iCs/>
          <w:i/>
        </w:rPr>
        <w:t xml:space="preserve">Schinus terebinthifolius</w:t>
      </w:r>
      <w:r>
        <w:t xml:space="preserve">; 2. Transitional wetland and transitional marsh; 3. High salt barren, unvegetated salt barren, and salt barren; 4. Short mangrove, mangrove, mangrove fringe, immature mangrove fringe and 5. Open water (channel, freshwater pond, tidal creek, tidal mud flat). The following results retain unique zone names for each site and future sampling should use standardized zone names between sites.</w:t>
      </w:r>
    </w:p>
    <w:p>
      <w:pPr>
        <w:pStyle w:val="BodyText"/>
      </w:pPr>
      <w:r>
        <w:t xml:space="preserve">The lines in Figures</w:t>
      </w:r>
      <w:r>
        <w:t xml:space="preserve"> </w:t>
      </w:r>
      <w:hyperlink w:anchor="fig-rchzoneestbb">
        <w:r>
          <w:rPr>
            <w:rStyle w:val="Hyperlink"/>
          </w:rPr>
          <w:t xml:space="preserve">8</w:t>
        </w:r>
      </w:hyperlink>
      <w:r>
        <w:t xml:space="preserve">,</w:t>
      </w:r>
      <w:r>
        <w:t xml:space="preserve"> </w:t>
      </w:r>
      <w:hyperlink w:anchor="fig-rchzoneestcb">
        <w:r>
          <w:rPr>
            <w:rStyle w:val="Hyperlink"/>
          </w:rPr>
          <w:t xml:space="preserve">9</w:t>
        </w:r>
      </w:hyperlink>
      <w:r>
        <w:t xml:space="preserve">,</w:t>
      </w:r>
      <w:r>
        <w:t xml:space="preserve"> </w:t>
      </w:r>
      <w:hyperlink w:anchor="fig-rchzoneestfd">
        <w:r>
          <w:rPr>
            <w:rStyle w:val="Hyperlink"/>
          </w:rPr>
          <w:t xml:space="preserve">10</w:t>
        </w:r>
      </w:hyperlink>
      <w:r>
        <w:t xml:space="preserve">,</w:t>
      </w:r>
      <w:r>
        <w:t xml:space="preserve"> </w:t>
      </w:r>
      <w:hyperlink w:anchor="fig-rchzoneesthp">
        <w:r>
          <w:rPr>
            <w:rStyle w:val="Hyperlink"/>
          </w:rPr>
          <w:t xml:space="preserve">11</w:t>
        </w:r>
      </w:hyperlink>
      <w:r>
        <w:t xml:space="preserve">,</w:t>
      </w:r>
      <w:r>
        <w:t xml:space="preserve"> </w:t>
      </w:r>
      <w:hyperlink w:anchor="fig-rchzoneesthh">
        <w:r>
          <w:rPr>
            <w:rStyle w:val="Hyperlink"/>
          </w:rPr>
          <w:t xml:space="preserve">12</w:t>
        </w:r>
      </w:hyperlink>
      <w:r>
        <w:t xml:space="preserve">,</w:t>
      </w:r>
      <w:r>
        <w:t xml:space="preserve"> </w:t>
      </w:r>
      <w:hyperlink w:anchor="fig-rchzoneestlmr">
        <w:r>
          <w:rPr>
            <w:rStyle w:val="Hyperlink"/>
          </w:rPr>
          <w:t xml:space="preserve">13</w:t>
        </w:r>
      </w:hyperlink>
      <w:r>
        <w:t xml:space="preserve">,</w:t>
      </w:r>
      <w:r>
        <w:t xml:space="preserve"> </w:t>
      </w:r>
      <w:hyperlink w:anchor="fig-rchzoneestm">
        <w:r>
          <w:rPr>
            <w:rStyle w:val="Hyperlink"/>
          </w:rPr>
          <w:t xml:space="preserve">14</w:t>
        </w:r>
      </w:hyperlink>
      <w:r>
        <w:t xml:space="preserve">,</w:t>
      </w:r>
      <w:r>
        <w:t xml:space="preserve"> </w:t>
      </w:r>
      <w:hyperlink w:anchor="fig-rchzoneestutbp">
        <w:r>
          <w:rPr>
            <w:rStyle w:val="Hyperlink"/>
          </w:rPr>
          <w:t xml:space="preserve">15</w:t>
        </w:r>
      </w:hyperlink>
      <w:r>
        <w:t xml:space="preserve">, and</w:t>
      </w:r>
      <w:r>
        <w:t xml:space="preserve"> </w:t>
      </w:r>
      <w:hyperlink w:anchor="fig-rchzoneestwi">
        <w:r>
          <w:rPr>
            <w:rStyle w:val="Hyperlink"/>
          </w:rPr>
          <w:t xml:space="preserve">16</w:t>
        </w:r>
      </w:hyperlink>
      <w:r>
        <w:t xml:space="preserve"> </w:t>
      </w:r>
      <w:r>
        <w:t xml:space="preserve">show the estimated reduction in the species richness estimates for individual zones at each site in the left plot and percent reductions in species richness estimates in the right plots. Species richness counts were pooled between the baseline and 2018 surveys. As for the site-level assessments, the rate of reduction decreased with increasing sampling distance within each zone. The highest overall richness was observed in the coastal upland zone at Big Bend -Teco (23 species,</w:t>
      </w:r>
      <w:r>
        <w:t xml:space="preserve"> </w:t>
      </w:r>
      <w:hyperlink w:anchor="fig-rchzoneestbb">
        <w:r>
          <w:rPr>
            <w:rStyle w:val="Hyperlink"/>
          </w:rPr>
          <w:t xml:space="preserve">Figure 8</w:t>
        </w:r>
      </w:hyperlink>
      <w:r>
        <w:t xml:space="preserve">) and transitional marsh at Cockroach Bay (21 species,</w:t>
      </w:r>
      <w:r>
        <w:t xml:space="preserve"> </w:t>
      </w:r>
      <w:hyperlink w:anchor="fig-rchzoneestcb">
        <w:r>
          <w:rPr>
            <w:rStyle w:val="Hyperlink"/>
          </w:rPr>
          <w:t xml:space="preserve">Figure 9</w:t>
        </w:r>
      </w:hyperlink>
      <w:r>
        <w:t xml:space="preserve">). Consequently, the zones at these sites had large decreases in total richness with reduced effort.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as expected. Changes in richness with reduced effort varied considerably for the coastal uplands, where total richness differed by site (highest at Big Bend Teco</w:t>
      </w:r>
      <w:r>
        <w:t xml:space="preserve"> </w:t>
      </w:r>
      <w:hyperlink w:anchor="fig-rchzoneestbb">
        <w:r>
          <w:rPr>
            <w:rStyle w:val="Hyperlink"/>
          </w:rPr>
          <w:t xml:space="preserve">Figure 8</w:t>
        </w:r>
      </w:hyperlink>
      <w:r>
        <w:t xml:space="preserve">, lowest at Cockroach Bay,</w:t>
      </w:r>
      <w:r>
        <w:t xml:space="preserve"> </w:t>
      </w:r>
      <w:hyperlink w:anchor="fig-rchzoneestcb">
        <w:r>
          <w:rPr>
            <w:rStyle w:val="Hyperlink"/>
          </w:rPr>
          <w:t xml:space="preserve">Figure 9</w:t>
        </w:r>
      </w:hyperlink>
      <w:r>
        <w:t xml:space="preserve">).</w:t>
      </w:r>
    </w:p>
    <w:tbl>
      <w:tblPr>
        <w:tblStyle w:val="Table"/>
        <w:tblW w:type="pct" w:w="5000"/>
        <w:tblLook w:firstRow="0" w:lastRow="0" w:firstColumn="0" w:lastColumn="0" w:noHBand="0" w:noVBand="0" w:val="0000"/>
      </w:tblPr>
      <w:tblGrid>
        <w:gridCol w:w="7920"/>
      </w:tblGrid>
      <w:tr>
        <w:tc>
          <w:tcPr/>
          <w:bookmarkStart w:id="58" w:name="fig-rchzoneestbb"/>
          <w:p>
            <w:pPr>
              <w:pStyle w:val="Figure"/>
              <w:jc w:val="center"/>
            </w:pPr>
            <w:r>
              <w:drawing>
                <wp:inline>
                  <wp:extent cx="5943600" cy="2971800"/>
                  <wp:effectExtent b="0" l="0" r="0" t="0"/>
                  <wp:docPr descr="" title="" id="56" name="Picture"/>
                  <a:graphic>
                    <a:graphicData uri="http://schemas.openxmlformats.org/drawingml/2006/picture">
                      <pic:pic>
                        <pic:nvPicPr>
                          <pic:cNvPr descr="../figs/richzone_Big%20Bend%20-%20TECO.jpg" id="57" name="Picture"/>
                          <pic:cNvPicPr>
                            <a:picLocks noChangeArrowheads="1" noChangeAspect="1"/>
                          </pic:cNvPicPr>
                        </pic:nvPicPr>
                        <pic:blipFill>
                          <a:blip r:embed="rId5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Species richness estimates by sampling distance for each zone at Big Bend - Teco. The left plot shows total species richness and the right plot shows relative percent reductions in species richness. Lines are colored by zones.</w:t>
            </w:r>
          </w:p>
          <w:bookmarkEnd w:id="5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2" w:name="fig-rchzoneestcb"/>
          <w:p>
            <w:pPr>
              <w:pStyle w:val="Figure"/>
              <w:jc w:val="center"/>
            </w:pPr>
            <w:r>
              <w:drawing>
                <wp:inline>
                  <wp:extent cx="5943600" cy="2971800"/>
                  <wp:effectExtent b="0" l="0" r="0" t="0"/>
                  <wp:docPr descr="" title="" id="60" name="Picture"/>
                  <a:graphic>
                    <a:graphicData uri="http://schemas.openxmlformats.org/drawingml/2006/picture">
                      <pic:pic>
                        <pic:nvPicPr>
                          <pic:cNvPr descr="../figs/richzone_Cockroach%20Bay.jpg" id="61" name="Picture"/>
                          <pic:cNvPicPr>
                            <a:picLocks noChangeArrowheads="1" noChangeAspect="1"/>
                          </pic:cNvPicPr>
                        </pic:nvPicPr>
                        <pic:blipFill>
                          <a:blip r:embed="rId5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Species richness estimates by sampling distance for each zone at Cockroach Bay. The left plot shows total species richness and the right plot shows relative percent reductions in species richness. Lines are colored by zones.</w:t>
            </w:r>
          </w:p>
          <w:bookmarkEnd w:id="6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66" w:name="fig-rchzoneestfd"/>
          <w:p>
            <w:pPr>
              <w:pStyle w:val="Figure"/>
              <w:jc w:val="center"/>
            </w:pPr>
            <w:r>
              <w:drawing>
                <wp:inline>
                  <wp:extent cx="5943600" cy="2971800"/>
                  <wp:effectExtent b="0" l="0" r="0" t="0"/>
                  <wp:docPr descr="" title="" id="64" name="Picture"/>
                  <a:graphic>
                    <a:graphicData uri="http://schemas.openxmlformats.org/drawingml/2006/picture">
                      <pic:pic>
                        <pic:nvPicPr>
                          <pic:cNvPr descr="../figs/richzone_Fort%20DeSoto.jpg" id="65" name="Picture"/>
                          <pic:cNvPicPr>
                            <a:picLocks noChangeArrowheads="1" noChangeAspect="1"/>
                          </pic:cNvPicPr>
                        </pic:nvPicPr>
                        <pic:blipFill>
                          <a:blip r:embed="rId6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Species richness estimates by sampling distance for each zone at Fort DeSoto. The left plot shows total species richness and the right plot shows relative percent reductions in species richness. Lines are colored by zones.</w:t>
            </w:r>
          </w:p>
          <w:bookmarkEnd w:id="6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0" w:name="fig-rchzoneesthp"/>
          <w:p>
            <w:pPr>
              <w:pStyle w:val="Figure"/>
              <w:jc w:val="center"/>
            </w:pPr>
            <w:r>
              <w:drawing>
                <wp:inline>
                  <wp:extent cx="5943600" cy="2971800"/>
                  <wp:effectExtent b="0" l="0" r="0" t="0"/>
                  <wp:docPr descr="" title="" id="68" name="Picture"/>
                  <a:graphic>
                    <a:graphicData uri="http://schemas.openxmlformats.org/drawingml/2006/picture">
                      <pic:pic>
                        <pic:nvPicPr>
                          <pic:cNvPr descr="../figs/richzone_Harbor%20Palms.jpg" id="69" name="Picture"/>
                          <pic:cNvPicPr>
                            <a:picLocks noChangeArrowheads="1" noChangeAspect="1"/>
                          </pic:cNvPicPr>
                        </pic:nvPicPr>
                        <pic:blipFill>
                          <a:blip r:embed="rId6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Species richness estimates by sampling distance for each zone at Hidden Harbor. The left plot shows total species richness and the right plot shows relative percent reductions in species richness. Lines are colored by zones.</w:t>
            </w:r>
          </w:p>
          <w:bookmarkEnd w:id="7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4" w:name="fig-rchzoneesthh"/>
          <w:p>
            <w:pPr>
              <w:pStyle w:val="Figure"/>
              <w:jc w:val="center"/>
            </w:pPr>
            <w:r>
              <w:drawing>
                <wp:inline>
                  <wp:extent cx="5943600" cy="2971800"/>
                  <wp:effectExtent b="0" l="0" r="0" t="0"/>
                  <wp:docPr descr="" title="" id="72" name="Picture"/>
                  <a:graphic>
                    <a:graphicData uri="http://schemas.openxmlformats.org/drawingml/2006/picture">
                      <pic:pic>
                        <pic:nvPicPr>
                          <pic:cNvPr descr="../figs/richzone_Hidden%20Harbor.jpg" id="73" name="Picture"/>
                          <pic:cNvPicPr>
                            <a:picLocks noChangeArrowheads="1" noChangeAspect="1"/>
                          </pic:cNvPicPr>
                        </pic:nvPicPr>
                        <pic:blipFill>
                          <a:blip r:embed="rId7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Species richness estimates by sampling distance for each zone at Hidden Harbor. The left plot shows total species richness and the right plot shows relative percent reductions in species richness. Lines are colored by zones.</w:t>
            </w:r>
          </w:p>
          <w:bookmarkEnd w:id="7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78" w:name="fig-rchzoneestlmr"/>
          <w:p>
            <w:pPr>
              <w:pStyle w:val="Figure"/>
              <w:jc w:val="center"/>
            </w:pPr>
            <w:r>
              <w:drawing>
                <wp:inline>
                  <wp:extent cx="5943600" cy="2971800"/>
                  <wp:effectExtent b="0" l="0" r="0" t="0"/>
                  <wp:docPr descr="" title="" id="76" name="Picture"/>
                  <a:graphic>
                    <a:graphicData uri="http://schemas.openxmlformats.org/drawingml/2006/picture">
                      <pic:pic>
                        <pic:nvPicPr>
                          <pic:cNvPr descr="../figs/richzone_Little%20Manatee%20River.jpg" id="77" name="Picture"/>
                          <pic:cNvPicPr>
                            <a:picLocks noChangeArrowheads="1" noChangeAspect="1"/>
                          </pic:cNvPicPr>
                        </pic:nvPicPr>
                        <pic:blipFill>
                          <a:blip r:embed="rId7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Species richness estimates by sampling distance for each zone at Little Manatee River. The left plot shows total species richness and the right plot shows relative percent reductions in species richness. Lines are colored by zones.</w:t>
            </w:r>
          </w:p>
          <w:bookmarkEnd w:id="7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2" w:name="fig-rchzoneestm"/>
          <w:p>
            <w:pPr>
              <w:pStyle w:val="Figure"/>
              <w:jc w:val="center"/>
            </w:pPr>
            <w:r>
              <w:drawing>
                <wp:inline>
                  <wp:extent cx="5943600" cy="2971800"/>
                  <wp:effectExtent b="0" l="0" r="0" t="0"/>
                  <wp:docPr descr="" title="" id="80" name="Picture"/>
                  <a:graphic>
                    <a:graphicData uri="http://schemas.openxmlformats.org/drawingml/2006/picture">
                      <pic:pic>
                        <pic:nvPicPr>
                          <pic:cNvPr descr="../figs/richzone_Mosaic.jpg" id="81" name="Picture"/>
                          <pic:cNvPicPr>
                            <a:picLocks noChangeArrowheads="1" noChangeAspect="1"/>
                          </pic:cNvPicPr>
                        </pic:nvPicPr>
                        <pic:blipFill>
                          <a:blip r:embed="rId7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Species richness estimates by sampling distance for each zone at Mosaic. The left plot shows total species richness and the right plot shows relative percent reductions in species richness. Lines are colored by zones.</w:t>
            </w:r>
          </w:p>
          <w:bookmarkEnd w:id="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 w:name="fig-rchzoneestutbp"/>
          <w:p>
            <w:pPr>
              <w:pStyle w:val="Figure"/>
              <w:jc w:val="center"/>
            </w:pPr>
            <w:r>
              <w:drawing>
                <wp:inline>
                  <wp:extent cx="5943600" cy="2971800"/>
                  <wp:effectExtent b="0" l="0" r="0" t="0"/>
                  <wp:docPr descr="" title="" id="84" name="Picture"/>
                  <a:graphic>
                    <a:graphicData uri="http://schemas.openxmlformats.org/drawingml/2006/picture">
                      <pic:pic>
                        <pic:nvPicPr>
                          <pic:cNvPr descr="../figs/richzone_Upper%20Tampa%20Bay%20Park.jpg" id="85" name="Picture"/>
                          <pic:cNvPicPr>
                            <a:picLocks noChangeArrowheads="1" noChangeAspect="1"/>
                          </pic:cNvPicPr>
                        </pic:nvPicPr>
                        <pic:blipFill>
                          <a:blip r:embed="rId8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Species richness estimates by sampling distance for each zone at Upper Tampa Bay Park. The left plot shows total species richness and the right plot shows relative percent reductions in species richness. Lines are colored by zones.</w:t>
            </w:r>
          </w:p>
          <w:bookmarkEnd w:id="8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90" w:name="fig-rchzoneestwi"/>
          <w:p>
            <w:pPr>
              <w:pStyle w:val="Figure"/>
              <w:jc w:val="center"/>
            </w:pPr>
            <w:r>
              <w:drawing>
                <wp:inline>
                  <wp:extent cx="5943600" cy="2971800"/>
                  <wp:effectExtent b="0" l="0" r="0" t="0"/>
                  <wp:docPr descr="" title="" id="88" name="Picture"/>
                  <a:graphic>
                    <a:graphicData uri="http://schemas.openxmlformats.org/drawingml/2006/picture">
                      <pic:pic>
                        <pic:nvPicPr>
                          <pic:cNvPr descr="../figs/richzone_Weedon%20Island.jpg" id="89" name="Picture"/>
                          <pic:cNvPicPr>
                            <a:picLocks noChangeArrowheads="1" noChangeAspect="1"/>
                          </pic:cNvPicPr>
                        </pic:nvPicPr>
                        <pic:blipFill>
                          <a:blip r:embed="rId8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Species richness estimates by sampling distance for each zone at Weedon Island. The left plot shows total species richness and the right plot shows relative percent reductions in species richness. Lines are colored by zones.</w:t>
            </w:r>
          </w:p>
          <w:bookmarkEnd w:id="90"/>
        </w:tc>
      </w:tr>
    </w:tbl>
    <w:p>
      <w:pPr>
        <w:pStyle w:val="BodyText"/>
      </w:pPr>
      <w:hyperlink w:anchor="fig-richzoneloss">
        <w:r>
          <w:rPr>
            <w:rStyle w:val="Hyperlink"/>
          </w:rPr>
          <w:t xml:space="preserve">Figure 17</w:t>
        </w:r>
      </w:hyperlink>
      <w:r>
        <w:t xml:space="preserve"> </w:t>
      </w:r>
      <w:r>
        <w:t xml:space="preserve">shows the relationship between percent loss in species richness with actual species richness in the unique zones for each site. There is strong evidence that greater reductions in species richness estimates are expected for zones with higher actual species richness (linear fit was significant,</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94" w:name="fig-richzoneloss"/>
          <w:p>
            <w:pPr>
              <w:pStyle w:val="Figure"/>
              <w:jc w:val="center"/>
            </w:pPr>
            <w:r>
              <w:drawing>
                <wp:inline>
                  <wp:extent cx="5943600" cy="5519057"/>
                  <wp:effectExtent b="0" l="0" r="0" t="0"/>
                  <wp:docPr descr="" title="" id="92" name="Picture"/>
                  <a:graphic>
                    <a:graphicData uri="http://schemas.openxmlformats.org/drawingml/2006/picture">
                      <pic:pic>
                        <pic:nvPicPr>
                          <pic:cNvPr descr="../figs/richzoneloss.jpg" id="93" name="Picture"/>
                          <pic:cNvPicPr>
                            <a:picLocks noChangeArrowheads="1" noChangeAspect="1"/>
                          </pic:cNvPicPr>
                        </pic:nvPicPr>
                        <pic:blipFill>
                          <a:blip r:embed="rId91"/>
                          <a:stretch>
                            <a:fillRect/>
                          </a:stretch>
                        </pic:blipFill>
                        <pic:spPr bwMode="auto">
                          <a:xfrm>
                            <a:off x="0" y="0"/>
                            <a:ext cx="5943600" cy="55190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Total percent loss of richness from half-meter to 10 meter sampling as a function of average species richness within a zone. Points are colored by site and each point represents a unique zone at a site.</w:t>
            </w:r>
          </w:p>
          <w:bookmarkEnd w:id="94"/>
        </w:tc>
      </w:tr>
    </w:tbl>
    <w:bookmarkEnd w:id="95"/>
    <w:bookmarkStart w:id="108" w:name="elevation-of-key-species"/>
    <w:p>
      <w:pPr>
        <w:pStyle w:val="Heading3"/>
      </w:pPr>
      <w:r>
        <w:t xml:space="preserve">3.3 Elevation of key species</w:t>
      </w:r>
    </w:p>
    <w:p>
      <w:pPr>
        <w:pStyle w:val="FirstParagraph"/>
      </w:pPr>
      <w:r>
        <w:t xml:space="preserve">Elevation estimates from the CDF curves at which 95% of mangrove species were observed with reductions in sampling effort varied by site (</w:t>
      </w:r>
      <w:hyperlink w:anchor="fig-elevex">
        <w:r>
          <w:rPr>
            <w:rStyle w:val="Hyperlink"/>
          </w:rPr>
          <w:t xml:space="preserve">Figure 18</w:t>
        </w:r>
      </w:hyperlink>
      <w:r>
        <w:t xml:space="preserve">). These measures can be considered an approximate upper elevation limit at which mangrove species are observed at each site for each level of sampling effort. Consistent reductions in the elevation estimates with reduced sampling effort were observed for all species at some sites (e.g., Fort De Soto, Mosaic), whereas only some species showed reductions at some sites (e.g., only</w:t>
      </w:r>
      <w:r>
        <w:t xml:space="preserve"> </w:t>
      </w:r>
      <w:r>
        <w:rPr>
          <w:iCs/>
          <w:i/>
        </w:rPr>
        <w:t xml:space="preserve">Rhizophora mangle</w:t>
      </w:r>
      <w:r>
        <w:t xml:space="preserve"> </w:t>
      </w:r>
      <w:r>
        <w:t xml:space="preserve">showed a reduction in elevation at Big Bend - Teco). Additionally, the overall elevations at half-meter sampling varied by species at each site, such that red mangroves (which typically are found at lower elevations) were observed at higher elevations (Big Bend, Little Manatee River) or lower elevations (Cockroach Bay, Mosaic, Upper Tampa Bay Park)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99" w:name="fig-elevex"/>
          <w:p>
            <w:pPr>
              <w:pStyle w:val="Figure"/>
              <w:jc w:val="center"/>
            </w:pPr>
            <w:r>
              <w:drawing>
                <wp:inline>
                  <wp:extent cx="5943600" cy="4953000"/>
                  <wp:effectExtent b="0" l="0" r="0" t="0"/>
                  <wp:docPr descr="" title="" id="97" name="Picture"/>
                  <a:graphic>
                    <a:graphicData uri="http://schemas.openxmlformats.org/drawingml/2006/picture">
                      <pic:pic>
                        <pic:nvPicPr>
                          <pic:cNvPr descr="../figs/elevex.jpg" id="98" name="Picture"/>
                          <pic:cNvPicPr>
                            <a:picLocks noChangeArrowheads="1" noChangeAspect="1"/>
                          </pic:cNvPicPr>
                        </pic:nvPicPr>
                        <pic:blipFill>
                          <a:blip r:embed="rId9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Elevation estimates of three mangrove species with sampling distance at each site. Point size shows the variance across the replicates for each level of sampling effort.</w:t>
            </w:r>
          </w:p>
          <w:bookmarkEnd w:id="99"/>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19</w:t>
        </w:r>
      </w:hyperlink>
      <w:r>
        <w:t xml:space="preserve">,</w:t>
      </w:r>
      <w:r>
        <w:t xml:space="preserve"> </w:t>
      </w:r>
      <w:r>
        <w:rPr>
          <w:iCs/>
          <w:i/>
        </w:rPr>
        <w:t xml:space="preserve">p</w:t>
      </w:r>
      <w:r>
        <w:t xml:space="preserve"> </w:t>
      </w:r>
      <w:r>
        <w:t xml:space="preserve">&lt; 0.05). Species with greater frequency occurrence at a site have smaller changes in the elevation estimates with reductions in sampling effort. Similarly, lower variance among the estimates was observed for species with higher frequency occurrences (</w:t>
      </w:r>
      <w:hyperlink w:anchor="fig-fovarelevex">
        <w:r>
          <w:rPr>
            <w:rStyle w:val="Hyperlink"/>
          </w:rPr>
          <w:t xml:space="preserve">Figure 20</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103" w:name="fig-foperelevex"/>
          <w:p>
            <w:pPr>
              <w:pStyle w:val="Figure"/>
              <w:jc w:val="center"/>
            </w:pPr>
            <w:r>
              <w:drawing>
                <wp:inline>
                  <wp:extent cx="5943600" cy="5486400"/>
                  <wp:effectExtent b="0" l="0" r="0" t="0"/>
                  <wp:docPr descr="" title="" id="101" name="Picture"/>
                  <a:graphic>
                    <a:graphicData uri="http://schemas.openxmlformats.org/drawingml/2006/picture">
                      <pic:pic>
                        <pic:nvPicPr>
                          <pic:cNvPr descr="../figs/foperelevex.jpg" id="102" name="Picture"/>
                          <pic:cNvPicPr>
                            <a:picLocks noChangeArrowheads="1" noChangeAspect="1"/>
                          </pic:cNvPicPr>
                        </pic:nvPicPr>
                        <pic:blipFill>
                          <a:blip r:embed="rId100"/>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Total percent change in elevation estimates for three mangrove species from half-meter to 10 meter sampling as a function of actual frequency occurrence of each species at half-meter sampling.</w:t>
            </w:r>
          </w:p>
          <w:bookmarkEnd w:id="10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7" w:name="fig-fovarelevex"/>
          <w:p>
            <w:pPr>
              <w:pStyle w:val="Figure"/>
              <w:jc w:val="center"/>
            </w:pPr>
            <w:r>
              <w:drawing>
                <wp:inline>
                  <wp:extent cx="5943600" cy="5486400"/>
                  <wp:effectExtent b="0" l="0" r="0" t="0"/>
                  <wp:docPr descr="" title="" id="105" name="Picture"/>
                  <a:graphic>
                    <a:graphicData uri="http://schemas.openxmlformats.org/drawingml/2006/picture">
                      <pic:pic>
                        <pic:nvPicPr>
                          <pic:cNvPr descr="../figs/fovarelevex.jpg" id="106" name="Picture"/>
                          <pic:cNvPicPr>
                            <a:picLocks noChangeArrowheads="1" noChangeAspect="1"/>
                          </pic:cNvPicPr>
                        </pic:nvPicPr>
                        <pic:blipFill>
                          <a:blip r:embed="rId104"/>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Variance of the elevation esimates of three mangrove species at 10 meter sampling as a function of actual frequency occurrence of each species at half-meter sampling.</w:t>
            </w:r>
          </w:p>
          <w:bookmarkEnd w:id="107"/>
        </w:tc>
      </w:tr>
    </w:tbl>
    <w:bookmarkEnd w:id="108"/>
    <w:bookmarkStart w:id="157"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at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at least one plot would occur per zone for most intervals of sampling up to sampling every 10 meters (</w:t>
      </w:r>
      <w:hyperlink w:anchor="fig-zonecnt">
        <w:r>
          <w:rPr>
            <w:rStyle w:val="Hyperlink"/>
          </w:rPr>
          <w:t xml:space="preserve">Figure 21</w:t>
        </w:r>
      </w:hyperlink>
      <w:r>
        <w:t xml:space="preserve">). Each zone would include at least one quadrat at any level of sampling effort for Big Bend - TECO, Fort DeSoto, and Harbor Palms, whereas some zones were missed for the other sites depending on the sampling interval. For example, Hidden Harbor includes four zones, with the smallest zone 1 meter in length. An average zone count of less than four occurs when the sampling interval is greater than 1 meter, i.e, 1.5 meters, as that sampling interval excludes a quadrat in the tidal creek zone for some of the replicates. The length of the smallest zone for sites where the average count begins to decrease with reduced effort can be seen at the point where the curve is no longer constant at the true zone count. As such, all zones will include at least one quadrat if the sampling interval is less than the length of the smallest zone.</w:t>
      </w:r>
    </w:p>
    <w:tbl>
      <w:tblPr>
        <w:tblStyle w:val="Table"/>
        <w:tblW w:type="pct" w:w="5000"/>
        <w:tblLook w:firstRow="0" w:lastRow="0" w:firstColumn="0" w:lastColumn="0" w:noHBand="0" w:noVBand="0" w:val="0000"/>
      </w:tblPr>
      <w:tblGrid>
        <w:gridCol w:w="7920"/>
      </w:tblGrid>
      <w:tr>
        <w:tc>
          <w:tcPr/>
          <w:bookmarkStart w:id="112" w:name="fig-zonecnt"/>
          <w:p>
            <w:pPr>
              <w:pStyle w:val="Figure"/>
              <w:jc w:val="center"/>
            </w:pPr>
            <w:r>
              <w:drawing>
                <wp:inline>
                  <wp:extent cx="5943600" cy="5200650"/>
                  <wp:effectExtent b="0" l="0" r="0" t="0"/>
                  <wp:docPr descr="" title="" id="110" name="Picture"/>
                  <a:graphic>
                    <a:graphicData uri="http://schemas.openxmlformats.org/drawingml/2006/picture">
                      <pic:pic>
                        <pic:nvPicPr>
                          <pic:cNvPr descr="../figs/zonecnt.jpg" id="111" name="Picture"/>
                          <pic:cNvPicPr>
                            <a:picLocks noChangeArrowheads="1" noChangeAspect="1"/>
                          </pic:cNvPicPr>
                        </pic:nvPicPr>
                        <pic:blipFill>
                          <a:blip r:embed="rId10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Number of unique zones with at least one quadrat at each site from half-meter to 10 meter sampling. Point size shows the variance across the replicates for each level of sampling effort.</w:t>
            </w:r>
          </w:p>
          <w:bookmarkEnd w:id="112"/>
        </w:tc>
      </w:tr>
    </w:tbl>
    <w:p>
      <w:pPr>
        <w:pStyle w:val="BodyText"/>
      </w:pPr>
      <w:r>
        <w:t xml:space="preserve">Although the zone lengths can be accurately determined in the field using the distances between zone markers, the following shows how length estimates may vary with reduced sampling effort if based on the distances spanned by the quadrats in each zone. Based on the latter, estimated lengths of each zone did not change systematically, although the variance of the estimates increased with reduced sampling effort (</w:t>
      </w:r>
      <w:hyperlink w:anchor="fig-zonedst">
        <w:r>
          <w:rPr>
            <w:rStyle w:val="Hyperlink"/>
          </w:rPr>
          <w:t xml:space="preserve">Figure 22</w:t>
        </w:r>
      </w:hyperlink>
      <w:r>
        <w:t xml:space="preserve">). The change in variance was non-linear, such that it generally increased with reduced effort, but often was estimated at low or zero variance depending on the sampling interval. An example from Big Bend - TECO demonstrates how variance changes across each zone with the sampling effort (</w:t>
      </w:r>
      <w:hyperlink w:anchor="fig-zonevarex">
        <w:r>
          <w:rPr>
            <w:rStyle w:val="Hyperlink"/>
          </w:rPr>
          <w:t xml:space="preserve">Figure 23</w:t>
        </w:r>
      </w:hyperlink>
      <w:r>
        <w:t xml:space="preserve">).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not zero, i.e., each sub-sample estimates a different length for the zone distance.</w:t>
      </w:r>
    </w:p>
    <w:tbl>
      <w:tblPr>
        <w:tblStyle w:val="Table"/>
        <w:tblW w:type="pct" w:w="5000"/>
        <w:tblLook w:firstRow="0" w:lastRow="0" w:firstColumn="0" w:lastColumn="0" w:noHBand="0" w:noVBand="0" w:val="0000"/>
      </w:tblPr>
      <w:tblGrid>
        <w:gridCol w:w="7920"/>
      </w:tblGrid>
      <w:tr>
        <w:tc>
          <w:tcPr/>
          <w:bookmarkStart w:id="116" w:name="fig-zonedst"/>
          <w:p>
            <w:pPr>
              <w:pStyle w:val="Figure"/>
              <w:jc w:val="center"/>
            </w:pPr>
            <w:r>
              <w:drawing>
                <wp:inline>
                  <wp:extent cx="5943600" cy="5200650"/>
                  <wp:effectExtent b="0" l="0" r="0" t="0"/>
                  <wp:docPr descr="" title="" id="114" name="Picture"/>
                  <a:graphic>
                    <a:graphicData uri="http://schemas.openxmlformats.org/drawingml/2006/picture">
                      <pic:pic>
                        <pic:nvPicPr>
                          <pic:cNvPr descr="../figs/zonedst.jpg" id="115" name="Picture"/>
                          <pic:cNvPicPr>
                            <a:picLocks noChangeArrowheads="1" noChangeAspect="1"/>
                          </pic:cNvPicPr>
                        </pic:nvPicPr>
                        <pic:blipFill>
                          <a:blip r:embed="rId11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Total distance spanned by quadrats within each zone at each site from half-meter to 10 meter sampling. Each line is a unique zone. Point size shows the variance across the replicates for each level of sampling effort.</w:t>
            </w:r>
          </w:p>
          <w:bookmarkEnd w:id="11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0" w:name="fig-zonevarex"/>
          <w:p>
            <w:pPr>
              <w:pStyle w:val="Figure"/>
              <w:jc w:val="center"/>
            </w:pPr>
            <w:r>
              <w:drawing>
                <wp:inline>
                  <wp:extent cx="5943600" cy="5200650"/>
                  <wp:effectExtent b="0" l="0" r="0" t="0"/>
                  <wp:docPr descr="" title="" id="118" name="Picture"/>
                  <a:graphic>
                    <a:graphicData uri="http://schemas.openxmlformats.org/drawingml/2006/picture">
                      <pic:pic>
                        <pic:nvPicPr>
                          <pic:cNvPr descr="../figs/zonevarex.jpg" id="119" name="Picture"/>
                          <pic:cNvPicPr>
                            <a:picLocks noChangeArrowheads="1" noChangeAspect="1"/>
                          </pic:cNvPicPr>
                        </pic:nvPicPr>
                        <pic:blipFill>
                          <a:blip r:embed="rId11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An example of the variance of the distances spanned by quadrats across sub-sample replicates for each zone at the Big Bend - TECO site from half-meter to 10 meter sampling.</w:t>
            </w:r>
          </w:p>
          <w:bookmarkEnd w:id="120"/>
        </w:tc>
      </w:tr>
    </w:tbl>
    <w:p>
      <w:pPr>
        <w:pStyle w:val="BodyText"/>
      </w:pPr>
      <w:r>
        <w:t xml:space="preserve">Detailed results for the zone lengths at each site are shown in Figures</w:t>
      </w:r>
      <w:r>
        <w:t xml:space="preserve"> </w:t>
      </w:r>
      <w:hyperlink w:anchor="fig-zoneestbb">
        <w:r>
          <w:rPr>
            <w:rStyle w:val="Hyperlink"/>
          </w:rPr>
          <w:t xml:space="preserve">24</w:t>
        </w:r>
      </w:hyperlink>
      <w:r>
        <w:t xml:space="preserve">,</w:t>
      </w:r>
      <w:r>
        <w:t xml:space="preserve"> </w:t>
      </w:r>
      <w:hyperlink w:anchor="fig-zoneestcb">
        <w:r>
          <w:rPr>
            <w:rStyle w:val="Hyperlink"/>
          </w:rPr>
          <w:t xml:space="preserve">25</w:t>
        </w:r>
      </w:hyperlink>
      <w:r>
        <w:t xml:space="preserve">,</w:t>
      </w:r>
      <w:r>
        <w:t xml:space="preserve"> </w:t>
      </w:r>
      <w:hyperlink w:anchor="fig-zoneestfd">
        <w:r>
          <w:rPr>
            <w:rStyle w:val="Hyperlink"/>
          </w:rPr>
          <w:t xml:space="preserve">26</w:t>
        </w:r>
      </w:hyperlink>
      <w:r>
        <w:t xml:space="preserve">,</w:t>
      </w:r>
      <w:r>
        <w:t xml:space="preserve"> </w:t>
      </w:r>
      <w:hyperlink w:anchor="fig-zoneesthp">
        <w:r>
          <w:rPr>
            <w:rStyle w:val="Hyperlink"/>
          </w:rPr>
          <w:t xml:space="preserve">27</w:t>
        </w:r>
      </w:hyperlink>
      <w:r>
        <w:t xml:space="preserve">,</w:t>
      </w:r>
      <w:r>
        <w:t xml:space="preserve"> </w:t>
      </w:r>
      <w:hyperlink w:anchor="fig-zoneesthh">
        <w:r>
          <w:rPr>
            <w:rStyle w:val="Hyperlink"/>
          </w:rPr>
          <w:t xml:space="preserve">28</w:t>
        </w:r>
      </w:hyperlink>
      <w:r>
        <w:t xml:space="preserve">,</w:t>
      </w:r>
      <w:r>
        <w:t xml:space="preserve"> </w:t>
      </w:r>
      <w:hyperlink w:anchor="fig-zoneestlmr">
        <w:r>
          <w:rPr>
            <w:rStyle w:val="Hyperlink"/>
          </w:rPr>
          <w:t xml:space="preserve">29</w:t>
        </w:r>
      </w:hyperlink>
      <w:r>
        <w:t xml:space="preserve">,</w:t>
      </w:r>
      <w:r>
        <w:t xml:space="preserve"> </w:t>
      </w:r>
      <w:hyperlink w:anchor="fig-zoneestm">
        <w:r>
          <w:rPr>
            <w:rStyle w:val="Hyperlink"/>
          </w:rPr>
          <w:t xml:space="preserve">30</w:t>
        </w:r>
      </w:hyperlink>
      <w:r>
        <w:t xml:space="preserve">,</w:t>
      </w:r>
      <w:r>
        <w:t xml:space="preserve"> </w:t>
      </w:r>
      <w:hyperlink w:anchor="fig-zoneestutbp">
        <w:r>
          <w:rPr>
            <w:rStyle w:val="Hyperlink"/>
          </w:rPr>
          <w:t xml:space="preserve">31</w:t>
        </w:r>
      </w:hyperlink>
      <w:r>
        <w:t xml:space="preserve">, and</w:t>
      </w:r>
      <w:r>
        <w:t xml:space="preserve"> </w:t>
      </w:r>
      <w:hyperlink w:anchor="fig-zoneestwi">
        <w:r>
          <w:rPr>
            <w:rStyle w:val="Hyperlink"/>
          </w:rPr>
          <w:t xml:space="preserve">32</w:t>
        </w:r>
      </w:hyperlink>
      <w:r>
        <w:t xml:space="preserve">. The shaded areas represent the true zones at half-meter sampling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(overlap of estimates) with decreasing sampling effort.</w:t>
      </w:r>
    </w:p>
    <w:tbl>
      <w:tblPr>
        <w:tblStyle w:val="Table"/>
        <w:tblW w:type="pct" w:w="5000"/>
        <w:tblLook w:firstRow="0" w:lastRow="0" w:firstColumn="0" w:lastColumn="0" w:noHBand="0" w:noVBand="0" w:val="0000"/>
      </w:tblPr>
      <w:tblGrid>
        <w:gridCol w:w="7920"/>
      </w:tblGrid>
      <w:tr>
        <w:tc>
          <w:tcPr/>
          <w:bookmarkStart w:id="124" w:name="fig-zoneestbb"/>
          <w:p>
            <w:pPr>
              <w:pStyle w:val="Figure"/>
              <w:jc w:val="center"/>
            </w:pPr>
            <w:r>
              <w:drawing>
                <wp:inline>
                  <wp:extent cx="5943600" cy="2971800"/>
                  <wp:effectExtent b="0" l="0" r="0" t="0"/>
                  <wp:docPr descr="" title="" id="122" name="Picture"/>
                  <a:graphic>
                    <a:graphicData uri="http://schemas.openxmlformats.org/drawingml/2006/picture">
                      <pic:pic>
                        <pic:nvPicPr>
                          <pic:cNvPr descr="../figs/zoneest_Big%20Bend%20-%20TECO.jpg" id="123" name="Picture"/>
                          <pic:cNvPicPr>
                            <a:picLocks noChangeArrowheads="1" noChangeAspect="1"/>
                          </pic:cNvPicPr>
                        </pic:nvPicPr>
                        <pic:blipFill>
                          <a:blip r:embed="rId12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Big Bend - Teco at 1 meter to 10 meter sampling for the distances spanned by the quadrats. The colored regions indicate the zone delineations at half-meter sampling.</w:t>
            </w:r>
          </w:p>
          <w:bookmarkEnd w:id="12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28" w:name="fig-zoneestcb"/>
          <w:p>
            <w:pPr>
              <w:pStyle w:val="Figure"/>
              <w:jc w:val="center"/>
            </w:pPr>
            <w:r>
              <w:drawing>
                <wp:inline>
                  <wp:extent cx="5943600" cy="2971800"/>
                  <wp:effectExtent b="0" l="0" r="0" t="0"/>
                  <wp:docPr descr="" title="" id="126" name="Picture"/>
                  <a:graphic>
                    <a:graphicData uri="http://schemas.openxmlformats.org/drawingml/2006/picture">
                      <pic:pic>
                        <pic:nvPicPr>
                          <pic:cNvPr descr="../figs/zoneest_Cockroach%20Bay.jpg" id="127" name="Picture"/>
                          <pic:cNvPicPr>
                            <a:picLocks noChangeArrowheads="1" noChangeAspect="1"/>
                          </pic:cNvPicPr>
                        </pic:nvPicPr>
                        <pic:blipFill>
                          <a:blip r:embed="rId12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Cockroach Bay at 1 meter to 10 meter sampling for the distances spanned by the quadrats. The colored regions indicate the zone delineations at half-meter sampling.</w:t>
            </w:r>
          </w:p>
          <w:bookmarkEnd w:id="12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2" w:name="fig-zoneestfd"/>
          <w:p>
            <w:pPr>
              <w:pStyle w:val="Figure"/>
              <w:jc w:val="center"/>
            </w:pPr>
            <w:r>
              <w:drawing>
                <wp:inline>
                  <wp:extent cx="5943600" cy="2971800"/>
                  <wp:effectExtent b="0" l="0" r="0" t="0"/>
                  <wp:docPr descr="" title="" id="130" name="Picture"/>
                  <a:graphic>
                    <a:graphicData uri="http://schemas.openxmlformats.org/drawingml/2006/picture">
                      <pic:pic>
                        <pic:nvPicPr>
                          <pic:cNvPr descr="../figs/zoneest_Fort%20DeSoto.jpg" id="131" name="Picture"/>
                          <pic:cNvPicPr>
                            <a:picLocks noChangeArrowheads="1" noChangeAspect="1"/>
                          </pic:cNvPicPr>
                        </pic:nvPicPr>
                        <pic:blipFill>
                          <a:blip r:embed="rId12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Fort DeSoto at 1 meter to 10 meter sampling for the distances spanned by the quadrats. The colored regions indicate the zone delineations at half-meter sampling.</w:t>
            </w:r>
          </w:p>
          <w:bookmarkEnd w:id="13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6" w:name="fig-zoneesthp"/>
          <w:p>
            <w:pPr>
              <w:pStyle w:val="Figure"/>
              <w:jc w:val="center"/>
            </w:pPr>
            <w:r>
              <w:drawing>
                <wp:inline>
                  <wp:extent cx="5943600" cy="2971800"/>
                  <wp:effectExtent b="0" l="0" r="0" t="0"/>
                  <wp:docPr descr="" title="" id="134" name="Picture"/>
                  <a:graphic>
                    <a:graphicData uri="http://schemas.openxmlformats.org/drawingml/2006/picture">
                      <pic:pic>
                        <pic:nvPicPr>
                          <pic:cNvPr descr="../figs/zoneest_Harbor%20Palms.jpg" id="135" name="Picture"/>
                          <pic:cNvPicPr>
                            <a:picLocks noChangeArrowheads="1" noChangeAspect="1"/>
                          </pic:cNvPicPr>
                        </pic:nvPicPr>
                        <pic:blipFill>
                          <a:blip r:embed="rId13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Estimates and variance of the estimates in the zone starting locations at Harbor Palms at 1 meter to 10 meter sampling for the distances spanned by the quadrats. The colored regions indicate the zone delineations at half-meter sampling.</w:t>
            </w:r>
          </w:p>
          <w:bookmarkEnd w:id="13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0" w:name="fig-zoneesthh"/>
          <w:p>
            <w:pPr>
              <w:pStyle w:val="Figure"/>
              <w:jc w:val="center"/>
            </w:pPr>
            <w:r>
              <w:drawing>
                <wp:inline>
                  <wp:extent cx="5943600" cy="2971800"/>
                  <wp:effectExtent b="0" l="0" r="0" t="0"/>
                  <wp:docPr descr="" title="" id="138" name="Picture"/>
                  <a:graphic>
                    <a:graphicData uri="http://schemas.openxmlformats.org/drawingml/2006/picture">
                      <pic:pic>
                        <pic:nvPicPr>
                          <pic:cNvPr descr="../figs/zoneest_Hidden%20Harbor.jpg" id="139" name="Picture"/>
                          <pic:cNvPicPr>
                            <a:picLocks noChangeArrowheads="1" noChangeAspect="1"/>
                          </pic:cNvPicPr>
                        </pic:nvPicPr>
                        <pic:blipFill>
                          <a:blip r:embed="rId13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Estimates and variance of the estimates in the zone starting locations at Hidden Harbor at 1 meter to 10 meter sampling for the distances spanned by the quadrats. The colored regions indicate the zone delineations at half-meter sampling.</w:t>
            </w:r>
          </w:p>
          <w:bookmarkEnd w:id="140"/>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4" w:name="fig-zoneestlmr"/>
          <w:p>
            <w:pPr>
              <w:pStyle w:val="Figure"/>
              <w:jc w:val="center"/>
            </w:pPr>
            <w:r>
              <w:drawing>
                <wp:inline>
                  <wp:extent cx="5943600" cy="2971800"/>
                  <wp:effectExtent b="0" l="0" r="0" t="0"/>
                  <wp:docPr descr="" title="" id="142" name="Picture"/>
                  <a:graphic>
                    <a:graphicData uri="http://schemas.openxmlformats.org/drawingml/2006/picture">
                      <pic:pic>
                        <pic:nvPicPr>
                          <pic:cNvPr descr="../figs/zoneest_Little%20Manatee%20River.jpg" id="143" name="Picture"/>
                          <pic:cNvPicPr>
                            <a:picLocks noChangeArrowheads="1" noChangeAspect="1"/>
                          </pic:cNvPicPr>
                        </pic:nvPicPr>
                        <pic:blipFill>
                          <a:blip r:embed="rId14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Estimates and variance of the estimates in the zone starting locations at LIttle Manatee River at 1 meter to 10 meter sampling for the distances spanned by the quadrats. The colored regions indicate the zone delineations at half-meter sampling.</w:t>
            </w:r>
          </w:p>
          <w:bookmarkEnd w:id="144"/>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8" w:name="fig-zoneestm"/>
          <w:p>
            <w:pPr>
              <w:pStyle w:val="Figure"/>
              <w:jc w:val="center"/>
            </w:pPr>
            <w:r>
              <w:drawing>
                <wp:inline>
                  <wp:extent cx="5943600" cy="2971800"/>
                  <wp:effectExtent b="0" l="0" r="0" t="0"/>
                  <wp:docPr descr="" title="" id="146" name="Picture"/>
                  <a:graphic>
                    <a:graphicData uri="http://schemas.openxmlformats.org/drawingml/2006/picture">
                      <pic:pic>
                        <pic:nvPicPr>
                          <pic:cNvPr descr="../figs/zoneest_Mosaic.jpg" id="147" name="Picture"/>
                          <pic:cNvPicPr>
                            <a:picLocks noChangeArrowheads="1" noChangeAspect="1"/>
                          </pic:cNvPicPr>
                        </pic:nvPicPr>
                        <pic:blipFill>
                          <a:blip r:embed="rId145"/>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30: Estimates and variance of the estimates in the zone starting locations at Mosaic at 1 meter to 10 meter sampling for the distances spanned by the quadrats. The colored regions indicate the zone delineations at half-meter sampling.</w:t>
            </w:r>
          </w:p>
          <w:bookmarkEnd w:id="148"/>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2" w:name="fig-zoneestutbp"/>
          <w:p>
            <w:pPr>
              <w:pStyle w:val="Figure"/>
              <w:jc w:val="center"/>
            </w:pPr>
            <w:r>
              <w:drawing>
                <wp:inline>
                  <wp:extent cx="5943600" cy="2971800"/>
                  <wp:effectExtent b="0" l="0" r="0" t="0"/>
                  <wp:docPr descr="" title="" id="150" name="Picture"/>
                  <a:graphic>
                    <a:graphicData uri="http://schemas.openxmlformats.org/drawingml/2006/picture">
                      <pic:pic>
                        <pic:nvPicPr>
                          <pic:cNvPr descr="../figs/zoneest_Upper%20Tampa%20Bay%20Park.jpg" id="151" name="Picture"/>
                          <pic:cNvPicPr>
                            <a:picLocks noChangeArrowheads="1" noChangeAspect="1"/>
                          </pic:cNvPicPr>
                        </pic:nvPicPr>
                        <pic:blipFill>
                          <a:blip r:embed="rId149"/>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Estimates and variance of the estimates in the zone starting locations at Upper Tampa Bay Park at 1 meter to 10 meter sampling for the distances spanned by the quadrats. The colored regions indicate the zone delineations at half-meter sampling.</w:t>
            </w:r>
          </w:p>
          <w:bookmarkEnd w:id="15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56" w:name="fig-zoneestwi"/>
          <w:p>
            <w:pPr>
              <w:pStyle w:val="Figure"/>
              <w:jc w:val="center"/>
            </w:pPr>
            <w:r>
              <w:drawing>
                <wp:inline>
                  <wp:extent cx="5943600" cy="2971800"/>
                  <wp:effectExtent b="0" l="0" r="0" t="0"/>
                  <wp:docPr descr="" title="" id="154" name="Picture"/>
                  <a:graphic>
                    <a:graphicData uri="http://schemas.openxmlformats.org/drawingml/2006/picture">
                      <pic:pic>
                        <pic:nvPicPr>
                          <pic:cNvPr descr="../figs/zoneest_Weedon%20Island.jpg" id="155" name="Picture"/>
                          <pic:cNvPicPr>
                            <a:picLocks noChangeArrowheads="1" noChangeAspect="1"/>
                          </pic:cNvPicPr>
                        </pic:nvPicPr>
                        <pic:blipFill>
                          <a:blip r:embed="rId153"/>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Estimates and variance of the estimates in the zone starting locations at Weedon Island at 1 meter to 10 meter sampling for the distances spanned by the quadrats. The colored regions indicate the zone delineations at half-meter sampling.</w:t>
            </w:r>
          </w:p>
          <w:bookmarkEnd w:id="156"/>
        </w:tc>
      </w:tr>
    </w:tbl>
    <w:bookmarkEnd w:id="157"/>
    <w:bookmarkEnd w:id="158"/>
    <w:bookmarkStart w:id="160"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may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baseline and 2018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half-meter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1 meter sampling.</w:t>
      </w:r>
    </w:p>
    <w:p>
      <w:pPr>
        <w:pStyle w:val="BodyText"/>
      </w:pPr>
      <w:r>
        <w:t xml:space="preserve">The estimated elevation at which mangrove species are observed did not show consistent patterns across sites by species, although a general decrease was observed with reduced effort. This result was unexpected and it is unclear why reduced effort resulted in lower elevation estimates. Elevation generally increases along a transect and the sub-sampling method does not consistently sample lower elevations. An additional notable result was differences among the species for the elevations at half-meter sampling across the sites. In general, the three mangrove species are expected to follow an elevation gradient where red mangroves are more tolerant of polyhaline conditions (18-30 ppt) and more frequent inundation at lower elevations closer to the shoreline, white mangroves are intermediate, and black mangroves prefer oligohaline conditions (5-18 ppt) and less frequent inundation at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sampling effort will also be notably less for mangrove species with high frequency occurrence at a site (Figures</w:t>
      </w:r>
      <w:r>
        <w:t xml:space="preserve"> </w:t>
      </w:r>
      <w:hyperlink w:anchor="fig-foperelevex">
        <w:r>
          <w:rPr>
            <w:rStyle w:val="Hyperlink"/>
          </w:rPr>
          <w:t xml:space="preserve">19</w:t>
        </w:r>
      </w:hyperlink>
      <w:r>
        <w:t xml:space="preserve"> </w:t>
      </w:r>
      <w:r>
        <w:t xml:space="preserve">and</w:t>
      </w:r>
      <w:r>
        <w:t xml:space="preserve"> </w:t>
      </w:r>
      <w:hyperlink w:anchor="fig-fovarelevex">
        <w:r>
          <w:rPr>
            <w:rStyle w:val="Hyperlink"/>
          </w:rPr>
          <w:t xml:space="preserve">20</w:t>
        </w:r>
      </w:hyperlink>
      <w:r>
        <w:t xml:space="preserve">).</w:t>
      </w:r>
    </w:p>
    <w:p>
      <w:pPr>
        <w:pStyle w:val="BodyText"/>
      </w:pPr>
      <w:r>
        <w:t xml:space="preserve">Tracking changes in vegetation zones and their relative sizes is an additional component of CCHA sampling that is expected to shift with sea-level rise and temperature changes. One quadrat will still be present within each zone at reduced sampling effort, so long as the sample interval is less than the length of the smallest zone at a site. The precision of the distance spanned by quadrats in each zone decreases with reductions in sampling effort, but the decrease is not linear and is affected by the actual zone length and sample interval. These issues are inconsequential for 1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 Consistent zone names between sites could also be chosen</w:t>
      </w:r>
      <w:r>
        <w:t xml:space="preserve"> </w:t>
      </w:r>
      <w:r>
        <w:rPr>
          <w:iCs/>
          <w:i/>
        </w:rPr>
        <w:t xml:space="preserve">a priori</w:t>
      </w:r>
      <w:r>
        <w:t xml:space="preserve"> </w:t>
      </w:r>
      <w:r>
        <w:t xml:space="preserve">or identified objectively through a multivariate assessment of the vegetation communities. Consistent naming could facilitate a comparison of zones between sites, whereas the assessments herein only evaluated zone changes within each site due to naming differences.</w:t>
      </w:r>
    </w:p>
    <w:p>
      <w:pPr>
        <w:pStyle w:val="BodyText"/>
      </w:pPr>
      <w:r>
        <w:t xml:space="preserve">Overall, Placing quadrats at 1 m intervals instead of 0.5 m intervals will result in a 50% reduction in sampling effort without compromising the ability to track long-term changes in vegetation communities in the CCHA. Any additional proposed changes to the CCHA methods should be supported through quantitative analyses and vetted through appropriate advisory committees. The results herein were vetted through the TBEP Technical Advisory Committee in October 2022 (meeting materials can be viewed</w:t>
      </w:r>
      <w:r>
        <w:t xml:space="preserve"> </w:t>
      </w:r>
      <w:hyperlink r:id="rId159">
        <w:r>
          <w:rPr>
            <w:rStyle w:val="Hyperlink"/>
          </w:rPr>
          <w:t xml:space="preserve">here</w:t>
        </w:r>
      </w:hyperlink>
      <w:r>
        <w:t xml:space="preserve">) and appropriate changes were made to the EPA-approved Quality Assurance Project Plan (QAPP). Additional changes included in the QAPP not described here, but accepted by the TAC, included modification of the tree survey design using methods more appropriate for the CCHA habitats.</w:t>
      </w:r>
    </w:p>
    <w:p>
      <w:r>
        <w:br w:type="page"/>
      </w:r>
    </w:p>
    <w:bookmarkEnd w:id="160"/>
    <w:bookmarkStart w:id="201" w:name="references"/>
    <w:p>
      <w:pPr>
        <w:pStyle w:val="Heading2"/>
      </w:pPr>
      <w:r>
        <w:t xml:space="preserve">References</w:t>
      </w:r>
    </w:p>
    <w:bookmarkStart w:id="200" w:name="refs"/>
    <w:bookmarkStart w:id="162"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61">
        <w:r>
          <w:rPr>
            <w:rStyle w:val="Hyperlink"/>
          </w:rPr>
          <w:t xml:space="preserve">https://drive.google.com/file/d/1c_KTSJ4TgVX9IugnyDadr2Hc0gjAuQg2/view?usp=drivesdk</w:t>
        </w:r>
      </w:hyperlink>
      <w:r>
        <w:t xml:space="preserve">.</w:t>
      </w:r>
    </w:p>
    <w:bookmarkEnd w:id="162"/>
    <w:bookmarkStart w:id="164"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63">
        <w:r>
          <w:rPr>
            <w:rStyle w:val="Hyperlink"/>
          </w:rPr>
          <w:t xml:space="preserve">https://doi.org/10.1073/pnas.1902181116</w:t>
        </w:r>
      </w:hyperlink>
      <w:r>
        <w:t xml:space="preserve">.</w:t>
      </w:r>
    </w:p>
    <w:bookmarkEnd w:id="164"/>
    <w:bookmarkStart w:id="166"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65">
        <w:r>
          <w:rPr>
            <w:rStyle w:val="Hyperlink"/>
          </w:rPr>
          <w:t xml:space="preserve">https://doi.org/10.1016/j.ecss.2011.10.003</w:t>
        </w:r>
      </w:hyperlink>
      <w:r>
        <w:t xml:space="preserve">.</w:t>
      </w:r>
    </w:p>
    <w:bookmarkEnd w:id="166"/>
    <w:bookmarkStart w:id="168"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67">
        <w:r>
          <w:rPr>
            <w:rStyle w:val="Hyperlink"/>
          </w:rPr>
          <w:t xml:space="preserve">10.2307/1930167</w:t>
        </w:r>
      </w:hyperlink>
      <w:r>
        <w:t xml:space="preserve">.</w:t>
      </w:r>
    </w:p>
    <w:bookmarkEnd w:id="168"/>
    <w:bookmarkStart w:id="170"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69">
        <w:r>
          <w:rPr>
            <w:rStyle w:val="Hyperlink"/>
          </w:rPr>
          <w:t xml:space="preserve">10.1038/nclimate1970</w:t>
        </w:r>
      </w:hyperlink>
      <w:r>
        <w:t xml:space="preserve">.</w:t>
      </w:r>
    </w:p>
    <w:bookmarkEnd w:id="170"/>
    <w:bookmarkStart w:id="172"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71">
        <w:r>
          <w:rPr>
            <w:rStyle w:val="Hyperlink"/>
          </w:rPr>
          <w:t xml:space="preserve">10.1016/j.ocecoaman.2016.09.009</w:t>
        </w:r>
      </w:hyperlink>
      <w:r>
        <w:t xml:space="preserve">.</w:t>
      </w:r>
    </w:p>
    <w:bookmarkEnd w:id="172"/>
    <w:bookmarkStart w:id="174"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73">
        <w:r>
          <w:rPr>
            <w:rStyle w:val="Hyperlink"/>
          </w:rPr>
          <w:t xml:space="preserve">10.1007/s12237-020-00830-0</w:t>
        </w:r>
      </w:hyperlink>
      <w:r>
        <w:t xml:space="preserve">.</w:t>
      </w:r>
    </w:p>
    <w:bookmarkEnd w:id="174"/>
    <w:bookmarkStart w:id="176"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75">
        <w:r>
          <w:rPr>
            <w:rStyle w:val="Hyperlink"/>
          </w:rPr>
          <w:t xml:space="preserve">10.1577/1548-8446(1990)015&lt;0016:aeocco&gt;2.0.co;2</w:t>
        </w:r>
      </w:hyperlink>
      <w:r>
        <w:t xml:space="preserve">.</w:t>
      </w:r>
    </w:p>
    <w:bookmarkEnd w:id="176"/>
    <w:bookmarkStart w:id="178"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77">
        <w:r>
          <w:rPr>
            <w:rStyle w:val="Hyperlink"/>
          </w:rPr>
          <w:t xml:space="preserve">10.3354/meps196001</w:t>
        </w:r>
      </w:hyperlink>
      <w:r>
        <w:t xml:space="preserve">.</w:t>
      </w:r>
    </w:p>
    <w:bookmarkEnd w:id="178"/>
    <w:bookmarkStart w:id="180"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79">
        <w:r>
          <w:rPr>
            <w:rStyle w:val="Hyperlink"/>
          </w:rPr>
          <w:t xml:space="preserve">https://drive.google.com/file/d/1bDZ0JmuD2_1RM6VkSrsAR3g8bciQaf3F/view?usp=drivesdk</w:t>
        </w:r>
      </w:hyperlink>
      <w:r>
        <w:t xml:space="preserve">.</w:t>
      </w:r>
    </w:p>
    <w:bookmarkEnd w:id="180"/>
    <w:bookmarkStart w:id="181"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81"/>
    <w:bookmarkStart w:id="183"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82">
        <w:r>
          <w:rPr>
            <w:rStyle w:val="Hyperlink"/>
          </w:rPr>
          <w:t xml:space="preserve">10.1111/gcb.16111</w:t>
        </w:r>
      </w:hyperlink>
      <w:r>
        <w:t xml:space="preserve">.</w:t>
      </w:r>
    </w:p>
    <w:bookmarkEnd w:id="183"/>
    <w:bookmarkStart w:id="185"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84">
        <w:r>
          <w:rPr>
            <w:rStyle w:val="Hyperlink"/>
          </w:rPr>
          <w:t xml:space="preserve">https://drive.google.com/file/d/122AvajD3fxOVORHfO5HQUMdXkLNoQm48/view?usp=drivesdk</w:t>
        </w:r>
      </w:hyperlink>
      <w:r>
        <w:t xml:space="preserve">.</w:t>
      </w:r>
    </w:p>
    <w:bookmarkEnd w:id="185"/>
    <w:bookmarkStart w:id="187"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86">
        <w:r>
          <w:rPr>
            <w:rStyle w:val="Hyperlink"/>
          </w:rPr>
          <w:t xml:space="preserve">https://www.R-project.org/</w:t>
        </w:r>
      </w:hyperlink>
      <w:r>
        <w:t xml:space="preserve">.</w:t>
      </w:r>
    </w:p>
    <w:bookmarkEnd w:id="187"/>
    <w:bookmarkStart w:id="189"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88">
        <w:r>
          <w:rPr>
            <w:rStyle w:val="Hyperlink"/>
          </w:rPr>
          <w:t xml:space="preserve">https://drive.google.com/file/d/1Hp0l_qtbxp1JxKJoGatdyuANSzQrpL0I/view?usp=drivesdk</w:t>
        </w:r>
      </w:hyperlink>
      <w:r>
        <w:t xml:space="preserve">.</w:t>
      </w:r>
    </w:p>
    <w:bookmarkEnd w:id="189"/>
    <w:bookmarkStart w:id="191"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90">
        <w:r>
          <w:rPr>
            <w:rStyle w:val="Hyperlink"/>
          </w:rPr>
          <w:t xml:space="preserve">https://drive.google.com/file/d/11tu2-0y7wdAHsdvMYE8bNb68mgvcpWbK/view?usp=drivesdk</w:t>
        </w:r>
      </w:hyperlink>
      <w:r>
        <w:t xml:space="preserve">.</w:t>
      </w:r>
    </w:p>
    <w:bookmarkEnd w:id="191"/>
    <w:bookmarkStart w:id="193"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92">
        <w:r>
          <w:rPr>
            <w:rStyle w:val="Hyperlink"/>
          </w:rPr>
          <w:t xml:space="preserve">10.1007/s00267-013-0179-5</w:t>
        </w:r>
      </w:hyperlink>
      <w:r>
        <w:t xml:space="preserve">.</w:t>
      </w:r>
    </w:p>
    <w:bookmarkEnd w:id="193"/>
    <w:bookmarkStart w:id="195"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94">
        <w:r>
          <w:rPr>
            <w:rStyle w:val="Hyperlink"/>
          </w:rPr>
          <w:t xml:space="preserve">10.1016/j.ocecoaman.2013.09.007</w:t>
        </w:r>
      </w:hyperlink>
      <w:r>
        <w:t xml:space="preserve">.</w:t>
      </w:r>
    </w:p>
    <w:bookmarkEnd w:id="195"/>
    <w:bookmarkStart w:id="197"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96">
        <w:r>
          <w:rPr>
            <w:rStyle w:val="Hyperlink"/>
          </w:rPr>
          <w:t xml:space="preserve">10.1016/j.tourman.2018.03.024</w:t>
        </w:r>
      </w:hyperlink>
      <w:r>
        <w:t xml:space="preserve">.</w:t>
      </w:r>
    </w:p>
    <w:bookmarkEnd w:id="197"/>
    <w:bookmarkStart w:id="199"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98">
        <w:r>
          <w:rPr>
            <w:rStyle w:val="Hyperlink"/>
          </w:rPr>
          <w:t xml:space="preserve">10.1007/s13131-019-1352-3</w:t>
        </w:r>
      </w:hyperlink>
      <w:r>
        <w:t xml:space="preserve">.</w:t>
      </w:r>
    </w:p>
    <w:bookmarkEnd w:id="199"/>
    <w:bookmarkEnd w:id="200"/>
    <w:bookmarkEnd w:id="201"/>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BB6068"/>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uiPriority w:val="39"/>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96" Target="media/rId96.jpg" /><Relationship Type="http://schemas.openxmlformats.org/officeDocument/2006/relationships/image" Id="rId100" Target="media/rId100.jpg" /><Relationship Type="http://schemas.openxmlformats.org/officeDocument/2006/relationships/image" Id="rId104" Target="media/rId104.jpg" /><Relationship Type="http://schemas.openxmlformats.org/officeDocument/2006/relationships/image" Id="rId36" Target="media/rId36.jpg" /><Relationship Type="http://schemas.openxmlformats.org/officeDocument/2006/relationships/image" Id="rId42" Target="media/rId42.jpg" /><Relationship Type="http://schemas.openxmlformats.org/officeDocument/2006/relationships/image" Id="rId50" Target="media/rId50.jpg" /><Relationship Type="http://schemas.openxmlformats.org/officeDocument/2006/relationships/image" Id="rId46" Target="media/rId46.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63" Target="media/rId63.jpg"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79" Target="media/rId79.jpg" /><Relationship Type="http://schemas.openxmlformats.org/officeDocument/2006/relationships/image" Id="rId83" Target="media/rId83.jp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23" Target="media/rId23.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129" Target="media/rId129.jpg" /><Relationship Type="http://schemas.openxmlformats.org/officeDocument/2006/relationships/image" Id="rId133" Target="media/rId133.jpg" /><Relationship Type="http://schemas.openxmlformats.org/officeDocument/2006/relationships/image" Id="rId137" Target="media/rId137.jpg" /><Relationship Type="http://schemas.openxmlformats.org/officeDocument/2006/relationships/image" Id="rId141" Target="media/rId141.jpg" /><Relationship Type="http://schemas.openxmlformats.org/officeDocument/2006/relationships/image" Id="rId145" Target="media/rId145.jpg" /><Relationship Type="http://schemas.openxmlformats.org/officeDocument/2006/relationships/image" Id="rId149" Target="media/rId149.jpg" /><Relationship Type="http://schemas.openxmlformats.org/officeDocument/2006/relationships/image" Id="rId153" Target="media/rId153.jpg" /><Relationship Type="http://schemas.openxmlformats.org/officeDocument/2006/relationships/image" Id="rId117" Target="media/rId117.jpg" /><Relationship Type="http://schemas.openxmlformats.org/officeDocument/2006/relationships/hyperlink" Id="rId192" Target="https://doi.org/10.1007/s00267-013-0179-5" TargetMode="External" /><Relationship Type="http://schemas.openxmlformats.org/officeDocument/2006/relationships/hyperlink" Id="rId173" Target="https://doi.org/10.1007/s12237-020-00830-0" TargetMode="External" /><Relationship Type="http://schemas.openxmlformats.org/officeDocument/2006/relationships/hyperlink" Id="rId198" Target="https://doi.org/10.1007/s13131-019-1352-3" TargetMode="External" /><Relationship Type="http://schemas.openxmlformats.org/officeDocument/2006/relationships/hyperlink" Id="rId165" Target="https://doi.org/10.1016/j.ecss.2011.10.003" TargetMode="External" /><Relationship Type="http://schemas.openxmlformats.org/officeDocument/2006/relationships/hyperlink" Id="rId194" Target="https://doi.org/10.1016/j.ocecoaman.2013.09.007" TargetMode="External" /><Relationship Type="http://schemas.openxmlformats.org/officeDocument/2006/relationships/hyperlink" Id="rId171" Target="https://doi.org/10.1016/j.ocecoaman.2016.09.009" TargetMode="External" /><Relationship Type="http://schemas.openxmlformats.org/officeDocument/2006/relationships/hyperlink" Id="rId196" Target="https://doi.org/10.1016/j.tourman.2018.03.024" TargetMode="External" /><Relationship Type="http://schemas.openxmlformats.org/officeDocument/2006/relationships/hyperlink" Id="rId169" Target="https://doi.org/10.1038/nclimate1970" TargetMode="External" /><Relationship Type="http://schemas.openxmlformats.org/officeDocument/2006/relationships/hyperlink" Id="rId163" Target="https://doi.org/10.1073/pnas.1902181116" TargetMode="External" /><Relationship Type="http://schemas.openxmlformats.org/officeDocument/2006/relationships/hyperlink" Id="rId182" Target="https://doi.org/10.1111/gcb.16111" TargetMode="External" /><Relationship Type="http://schemas.openxmlformats.org/officeDocument/2006/relationships/hyperlink" Id="rId175" Target="https://doi.org/10.1577/1548-8446(1990)015&lt;0016:aeocco&gt;2.0.co;2" TargetMode="External" /><Relationship Type="http://schemas.openxmlformats.org/officeDocument/2006/relationships/hyperlink" Id="rId167" Target="https://doi.org/10.2307/1930167" TargetMode="External" /><Relationship Type="http://schemas.openxmlformats.org/officeDocument/2006/relationships/hyperlink" Id="rId177" Target="https://doi.org/10.3354/meps196001" TargetMode="External" /><Relationship Type="http://schemas.openxmlformats.org/officeDocument/2006/relationships/hyperlink" Id="rId159" Target="https://drive.google.com/drive/folders/1oTKyXKEdEG_gEXp3QKlWsyCDvSREphQc" TargetMode="External" /><Relationship Type="http://schemas.openxmlformats.org/officeDocument/2006/relationships/hyperlink" Id="rId190" Target="https://drive.google.com/file/d/11tu2-0y7wdAHsdvMYE8bNb68mgvcpWbK/view?usp=drivesdk" TargetMode="External" /><Relationship Type="http://schemas.openxmlformats.org/officeDocument/2006/relationships/hyperlink" Id="rId184" Target="https://drive.google.com/file/d/122AvajD3fxOVORHfO5HQUMdXkLNoQm48/view?usp=drivesdk" TargetMode="External" /><Relationship Type="http://schemas.openxmlformats.org/officeDocument/2006/relationships/hyperlink" Id="rId188" Target="https://drive.google.com/file/d/1Hp0l_qtbxp1JxKJoGatdyuANSzQrpL0I/view?usp=drivesdk" TargetMode="External" /><Relationship Type="http://schemas.openxmlformats.org/officeDocument/2006/relationships/hyperlink" Id="rId179" Target="https://drive.google.com/file/d/1bDZ0JmuD2_1RM6VkSrsAR3g8bciQaf3F/view?usp=drivesdk" TargetMode="External" /><Relationship Type="http://schemas.openxmlformats.org/officeDocument/2006/relationships/hyperlink" Id="rId161"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6"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92" Target="https://doi.org/10.1007/s00267-013-0179-5" TargetMode="External" /><Relationship Type="http://schemas.openxmlformats.org/officeDocument/2006/relationships/hyperlink" Id="rId173" Target="https://doi.org/10.1007/s12237-020-00830-0" TargetMode="External" /><Relationship Type="http://schemas.openxmlformats.org/officeDocument/2006/relationships/hyperlink" Id="rId198" Target="https://doi.org/10.1007/s13131-019-1352-3" TargetMode="External" /><Relationship Type="http://schemas.openxmlformats.org/officeDocument/2006/relationships/hyperlink" Id="rId165" Target="https://doi.org/10.1016/j.ecss.2011.10.003" TargetMode="External" /><Relationship Type="http://schemas.openxmlformats.org/officeDocument/2006/relationships/hyperlink" Id="rId194" Target="https://doi.org/10.1016/j.ocecoaman.2013.09.007" TargetMode="External" /><Relationship Type="http://schemas.openxmlformats.org/officeDocument/2006/relationships/hyperlink" Id="rId171" Target="https://doi.org/10.1016/j.ocecoaman.2016.09.009" TargetMode="External" /><Relationship Type="http://schemas.openxmlformats.org/officeDocument/2006/relationships/hyperlink" Id="rId196" Target="https://doi.org/10.1016/j.tourman.2018.03.024" TargetMode="External" /><Relationship Type="http://schemas.openxmlformats.org/officeDocument/2006/relationships/hyperlink" Id="rId169" Target="https://doi.org/10.1038/nclimate1970" TargetMode="External" /><Relationship Type="http://schemas.openxmlformats.org/officeDocument/2006/relationships/hyperlink" Id="rId163" Target="https://doi.org/10.1073/pnas.1902181116" TargetMode="External" /><Relationship Type="http://schemas.openxmlformats.org/officeDocument/2006/relationships/hyperlink" Id="rId182" Target="https://doi.org/10.1111/gcb.16111" TargetMode="External" /><Relationship Type="http://schemas.openxmlformats.org/officeDocument/2006/relationships/hyperlink" Id="rId175" Target="https://doi.org/10.1577/1548-8446(1990)015&lt;0016:aeocco&gt;2.0.co;2" TargetMode="External" /><Relationship Type="http://schemas.openxmlformats.org/officeDocument/2006/relationships/hyperlink" Id="rId167" Target="https://doi.org/10.2307/1930167" TargetMode="External" /><Relationship Type="http://schemas.openxmlformats.org/officeDocument/2006/relationships/hyperlink" Id="rId177" Target="https://doi.org/10.3354/meps196001" TargetMode="External" /><Relationship Type="http://schemas.openxmlformats.org/officeDocument/2006/relationships/hyperlink" Id="rId159" Target="https://drive.google.com/drive/folders/1oTKyXKEdEG_gEXp3QKlWsyCDvSREphQc" TargetMode="External" /><Relationship Type="http://schemas.openxmlformats.org/officeDocument/2006/relationships/hyperlink" Id="rId190" Target="https://drive.google.com/file/d/11tu2-0y7wdAHsdvMYE8bNb68mgvcpWbK/view?usp=drivesdk" TargetMode="External" /><Relationship Type="http://schemas.openxmlformats.org/officeDocument/2006/relationships/hyperlink" Id="rId184" Target="https://drive.google.com/file/d/122AvajD3fxOVORHfO5HQUMdXkLNoQm48/view?usp=drivesdk" TargetMode="External" /><Relationship Type="http://schemas.openxmlformats.org/officeDocument/2006/relationships/hyperlink" Id="rId188" Target="https://drive.google.com/file/d/1Hp0l_qtbxp1JxKJoGatdyuANSzQrpL0I/view?usp=drivesdk" TargetMode="External" /><Relationship Type="http://schemas.openxmlformats.org/officeDocument/2006/relationships/hyperlink" Id="rId179" Target="https://drive.google.com/file/d/1bDZ0JmuD2_1RM6VkSrsAR3g8bciQaf3F/view?usp=drivesdk" TargetMode="External" /><Relationship Type="http://schemas.openxmlformats.org/officeDocument/2006/relationships/hyperlink" Id="rId161" Target="https://drive.google.com/file/d/1c_KTSJ4TgVX9IugnyDadr2Hc0gjAuQg2/view?usp=drivesdk" TargetMode="External" /><Relationship Type="http://schemas.openxmlformats.org/officeDocument/2006/relationships/hyperlink" Id="rId40"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8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2</Pages>
  <Words>167</Words>
  <Characters>957</Characters>
  <Application>Microsoft Office Word</Application>
  <DocSecurity>0</DocSecurity>
  <Lines>7</Lines>
  <Paragraphs>2</Paragraphs>
  <ScaleCrop>false</ScaleCrop>
  <Company/>
  <LinksUpToDate>false</LinksUpToDate>
  <CharactersWithSpaces>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Florida Fish and Wildlife Conservation Commission, St. Petersburg, Florida 33701 USA; Kerry E. Flaherty-Walia, Tampa Bay Estuary Program, St. Petersburg, Florida 33701 USA</dc:creator>
  <cp:keywords/>
  <dcterms:created xsi:type="dcterms:W3CDTF">2022-11-29T22:30:05Z</dcterms:created>
  <dcterms:modified xsi:type="dcterms:W3CDTF">2022-11-29T22:30:05Z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11/1/22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